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778C3" w14:textId="158CBA54" w:rsidR="006B7AD3" w:rsidRPr="006B7AD3" w:rsidRDefault="006B7AD3" w:rsidP="003E1A18">
      <w:pPr>
        <w:ind w:left="720" w:hanging="360"/>
        <w:rPr>
          <w:b/>
          <w:bCs/>
        </w:rPr>
      </w:pPr>
      <w:r w:rsidRPr="006B7AD3">
        <w:rPr>
          <w:b/>
          <w:bCs/>
        </w:rPr>
        <w:t>2020 Tax update – Summary of Secure Act provisions and other topics discussed with Mr. Young</w:t>
      </w:r>
    </w:p>
    <w:p w14:paraId="67F1999D" w14:textId="352FCF60" w:rsidR="003E1A18" w:rsidRDefault="003E1A18" w:rsidP="003E1A18">
      <w:pPr>
        <w:pStyle w:val="ListParagraph"/>
        <w:numPr>
          <w:ilvl w:val="0"/>
          <w:numId w:val="2"/>
        </w:numPr>
      </w:pPr>
      <w:r>
        <w:t>Secure Act</w:t>
      </w:r>
    </w:p>
    <w:p w14:paraId="06336348" w14:textId="6D2B3AC7" w:rsidR="00D3093B" w:rsidRDefault="00D3093B" w:rsidP="00D3093B">
      <w:pPr>
        <w:pStyle w:val="ListParagraph"/>
        <w:numPr>
          <w:ilvl w:val="1"/>
          <w:numId w:val="2"/>
        </w:numPr>
      </w:pPr>
      <w:r>
        <w:t>RMDs do not start until age 72 for anyone born after June 30, 1949.</w:t>
      </w:r>
    </w:p>
    <w:p w14:paraId="2E7AE146" w14:textId="76DAB2B5" w:rsidR="00D3093B" w:rsidRDefault="00D3093B" w:rsidP="00D3093B">
      <w:pPr>
        <w:pStyle w:val="ListParagraph"/>
        <w:numPr>
          <w:ilvl w:val="1"/>
          <w:numId w:val="2"/>
        </w:numPr>
      </w:pPr>
      <w:r>
        <w:t>Contributions to traditional IRA’s allowed for all ages for 2020 (not limited to under 70 ½)</w:t>
      </w:r>
    </w:p>
    <w:p w14:paraId="3F06D3D9" w14:textId="22147E13" w:rsidR="007A78CD" w:rsidRDefault="007A78CD" w:rsidP="007A78CD">
      <w:pPr>
        <w:pStyle w:val="ListParagraph"/>
        <w:numPr>
          <w:ilvl w:val="2"/>
          <w:numId w:val="2"/>
        </w:numPr>
      </w:pPr>
      <w:r>
        <w:t>Trap:  if working individual contributes to a trad IRA after age 70.5, any amount of QCD is reduced by the amount contributed to the IRA.</w:t>
      </w:r>
    </w:p>
    <w:p w14:paraId="261B52DF" w14:textId="76D2477A" w:rsidR="00AE4F0A" w:rsidRDefault="00AE4F0A" w:rsidP="00D3093B">
      <w:pPr>
        <w:pStyle w:val="ListParagraph"/>
        <w:numPr>
          <w:ilvl w:val="1"/>
          <w:numId w:val="2"/>
        </w:numPr>
      </w:pPr>
      <w:r>
        <w:t xml:space="preserve">Now </w:t>
      </w:r>
      <w:r w:rsidR="002261CE">
        <w:t xml:space="preserve"> there are </w:t>
      </w:r>
      <w:r>
        <w:t>3 types of bene’s</w:t>
      </w:r>
    </w:p>
    <w:p w14:paraId="34BEE939" w14:textId="62C8EED8" w:rsidR="00AE4F0A" w:rsidRDefault="00AE4F0A" w:rsidP="00AE4F0A">
      <w:pPr>
        <w:pStyle w:val="ListParagraph"/>
        <w:numPr>
          <w:ilvl w:val="2"/>
          <w:numId w:val="2"/>
        </w:numPr>
      </w:pPr>
      <w:r>
        <w:t xml:space="preserve">Eligible </w:t>
      </w:r>
      <w:r w:rsidR="002261CE">
        <w:t xml:space="preserve">designated </w:t>
      </w:r>
      <w:r>
        <w:t>bene’s – stretch still possible</w:t>
      </w:r>
    </w:p>
    <w:p w14:paraId="3D0734DD" w14:textId="7F18ACF3" w:rsidR="00AE4F0A" w:rsidRDefault="00AE4F0A" w:rsidP="00AE4F0A">
      <w:pPr>
        <w:pStyle w:val="ListParagraph"/>
        <w:numPr>
          <w:ilvl w:val="3"/>
          <w:numId w:val="2"/>
        </w:numPr>
      </w:pPr>
      <w:r>
        <w:t>Spouse</w:t>
      </w:r>
    </w:p>
    <w:p w14:paraId="70AFD398" w14:textId="6411305E" w:rsidR="00AE4F0A" w:rsidRDefault="00AE4F0A" w:rsidP="00AE4F0A">
      <w:pPr>
        <w:pStyle w:val="ListParagraph"/>
        <w:numPr>
          <w:ilvl w:val="3"/>
          <w:numId w:val="2"/>
        </w:numPr>
      </w:pPr>
      <w:r>
        <w:t>Minor child – until age of majority – then 10 years</w:t>
      </w:r>
    </w:p>
    <w:p w14:paraId="615645AF" w14:textId="7A777861" w:rsidR="00AE4F0A" w:rsidRDefault="00AE4F0A" w:rsidP="00AE4F0A">
      <w:pPr>
        <w:pStyle w:val="ListParagraph"/>
        <w:numPr>
          <w:ilvl w:val="3"/>
          <w:numId w:val="2"/>
        </w:numPr>
      </w:pPr>
      <w:r>
        <w:t>Disabled bene</w:t>
      </w:r>
    </w:p>
    <w:p w14:paraId="545224A9" w14:textId="4CF1E981" w:rsidR="00AE4F0A" w:rsidRDefault="00AE4F0A" w:rsidP="00AE4F0A">
      <w:pPr>
        <w:pStyle w:val="ListParagraph"/>
        <w:numPr>
          <w:ilvl w:val="3"/>
          <w:numId w:val="2"/>
        </w:numPr>
      </w:pPr>
      <w:r>
        <w:t>Chronically ill bene</w:t>
      </w:r>
    </w:p>
    <w:p w14:paraId="7797D619" w14:textId="49661D3E" w:rsidR="00AE4F0A" w:rsidRDefault="00AE4F0A" w:rsidP="00AE4F0A">
      <w:pPr>
        <w:pStyle w:val="ListParagraph"/>
        <w:numPr>
          <w:ilvl w:val="3"/>
          <w:numId w:val="2"/>
        </w:numPr>
      </w:pPr>
      <w:r>
        <w:t>Bene less than 10 years younger than decedent</w:t>
      </w:r>
    </w:p>
    <w:p w14:paraId="6D7CA14C" w14:textId="6EC242E9" w:rsidR="00AE4F0A" w:rsidRDefault="00AE4F0A" w:rsidP="00AE4F0A">
      <w:pPr>
        <w:pStyle w:val="ListParagraph"/>
        <w:numPr>
          <w:ilvl w:val="2"/>
          <w:numId w:val="2"/>
        </w:numPr>
      </w:pPr>
      <w:r>
        <w:t>Other Designated bene’s – 10 years</w:t>
      </w:r>
    </w:p>
    <w:p w14:paraId="33636CCA" w14:textId="517FD1AC" w:rsidR="00AE4F0A" w:rsidRDefault="00AE4F0A" w:rsidP="00AE4F0A">
      <w:pPr>
        <w:pStyle w:val="ListParagraph"/>
        <w:numPr>
          <w:ilvl w:val="3"/>
          <w:numId w:val="2"/>
        </w:numPr>
      </w:pPr>
      <w:r>
        <w:t>Individuals who are not E</w:t>
      </w:r>
      <w:r w:rsidR="002261CE">
        <w:t>D</w:t>
      </w:r>
      <w:r>
        <w:t>B’s</w:t>
      </w:r>
    </w:p>
    <w:p w14:paraId="46FCA0B9" w14:textId="7954AD63" w:rsidR="00AE4F0A" w:rsidRDefault="00AE4F0A" w:rsidP="00AE4F0A">
      <w:pPr>
        <w:pStyle w:val="ListParagraph"/>
        <w:numPr>
          <w:ilvl w:val="3"/>
          <w:numId w:val="2"/>
        </w:numPr>
      </w:pPr>
      <w:r>
        <w:t>Accumulation trusts</w:t>
      </w:r>
      <w:r w:rsidR="002261CE">
        <w:t xml:space="preserve"> – will have to pay the tax over 10 years but can dribble out the principal to bene’s</w:t>
      </w:r>
    </w:p>
    <w:p w14:paraId="7ADF8CE1" w14:textId="26914CD4" w:rsidR="00AE4F0A" w:rsidRDefault="00AE4F0A" w:rsidP="00AE4F0A">
      <w:pPr>
        <w:pStyle w:val="ListParagraph"/>
        <w:numPr>
          <w:ilvl w:val="3"/>
          <w:numId w:val="2"/>
        </w:numPr>
      </w:pPr>
      <w:r>
        <w:t>Applies to decedents who died before RBD</w:t>
      </w:r>
    </w:p>
    <w:p w14:paraId="2F3D1BE9" w14:textId="33E7CEB3" w:rsidR="00AE4F0A" w:rsidRDefault="00AE4F0A" w:rsidP="00AE4F0A">
      <w:pPr>
        <w:pStyle w:val="ListParagraph"/>
        <w:numPr>
          <w:ilvl w:val="3"/>
          <w:numId w:val="2"/>
        </w:numPr>
      </w:pPr>
      <w:r>
        <w:t xml:space="preserve">For decedents after RBD, the w/drawal period is the longer of 10 years or decedent’s life expectancy from </w:t>
      </w:r>
      <w:r w:rsidR="00473640">
        <w:t xml:space="preserve">Uniform </w:t>
      </w:r>
      <w:r>
        <w:t>Life Table (Ghost Life Expectancy)</w:t>
      </w:r>
    </w:p>
    <w:p w14:paraId="28D20618" w14:textId="01495529" w:rsidR="00AE4F0A" w:rsidRDefault="00AE4F0A" w:rsidP="00AE4F0A">
      <w:pPr>
        <w:pStyle w:val="ListParagraph"/>
        <w:numPr>
          <w:ilvl w:val="4"/>
          <w:numId w:val="2"/>
        </w:numPr>
      </w:pPr>
      <w:r>
        <w:t>For decedents between 73 and 80, this would be more than 10 years.</w:t>
      </w:r>
    </w:p>
    <w:p w14:paraId="7554BBC4" w14:textId="45A368C5" w:rsidR="00AE4F0A" w:rsidRDefault="00AE4F0A" w:rsidP="00AE4F0A">
      <w:pPr>
        <w:pStyle w:val="ListParagraph"/>
        <w:numPr>
          <w:ilvl w:val="4"/>
          <w:numId w:val="2"/>
        </w:numPr>
      </w:pPr>
      <w:r>
        <w:t>Some debate as to whether this applies because it is a regulation, not Code so the SECURE act did not repeal it.</w:t>
      </w:r>
    </w:p>
    <w:p w14:paraId="3A9C3886" w14:textId="2D5D23BB" w:rsidR="00AE4F0A" w:rsidRDefault="00AE4F0A" w:rsidP="00AE4F0A">
      <w:pPr>
        <w:pStyle w:val="ListParagraph"/>
        <w:numPr>
          <w:ilvl w:val="2"/>
          <w:numId w:val="2"/>
        </w:numPr>
      </w:pPr>
      <w:r>
        <w:t>No Designated bene’s – 5 years</w:t>
      </w:r>
    </w:p>
    <w:p w14:paraId="5050AEA7" w14:textId="69309892" w:rsidR="00AE4F0A" w:rsidRDefault="00AE4F0A" w:rsidP="00AE4F0A">
      <w:pPr>
        <w:pStyle w:val="ListParagraph"/>
        <w:numPr>
          <w:ilvl w:val="3"/>
          <w:numId w:val="2"/>
        </w:numPr>
      </w:pPr>
      <w:r>
        <w:t>Unchanged</w:t>
      </w:r>
    </w:p>
    <w:p w14:paraId="0859F880" w14:textId="4FF0F172" w:rsidR="007A78CD" w:rsidRDefault="007A78CD" w:rsidP="007A78CD">
      <w:pPr>
        <w:pStyle w:val="ListParagraph"/>
        <w:numPr>
          <w:ilvl w:val="4"/>
          <w:numId w:val="2"/>
        </w:numPr>
      </w:pPr>
      <w:r>
        <w:t>Death before RBD-&gt; 5 years</w:t>
      </w:r>
    </w:p>
    <w:p w14:paraId="13B3E166" w14:textId="2CAC35BE" w:rsidR="007A78CD" w:rsidRDefault="007A78CD" w:rsidP="006B7AD3">
      <w:pPr>
        <w:pStyle w:val="ListParagraph"/>
        <w:numPr>
          <w:ilvl w:val="4"/>
          <w:numId w:val="2"/>
        </w:numPr>
      </w:pPr>
      <w:r>
        <w:t xml:space="preserve">Death after RBD -&gt; Ghost life </w:t>
      </w:r>
      <w:r w:rsidR="0076217F">
        <w:t>expectancy</w:t>
      </w:r>
    </w:p>
    <w:p w14:paraId="65967DFB" w14:textId="77777777" w:rsidR="006B7AD3" w:rsidRDefault="006B7AD3" w:rsidP="006B7AD3"/>
    <w:p w14:paraId="6B3D3D32" w14:textId="51E6DEA1" w:rsidR="00473640" w:rsidRDefault="003E1A18" w:rsidP="003E1A18">
      <w:pPr>
        <w:pStyle w:val="ListParagraph"/>
        <w:numPr>
          <w:ilvl w:val="0"/>
          <w:numId w:val="2"/>
        </w:numPr>
      </w:pPr>
      <w:r>
        <w:t xml:space="preserve">New </w:t>
      </w:r>
      <w:r w:rsidR="00473640">
        <w:t>Life Expectancy Tables – updated November 2020 for distributions after 1/1/2022</w:t>
      </w:r>
    </w:p>
    <w:p w14:paraId="4AD0ADE1" w14:textId="01C84012" w:rsidR="006B7AD3" w:rsidRDefault="00473640" w:rsidP="006B7AD3">
      <w:pPr>
        <w:pStyle w:val="ListParagraph"/>
        <w:numPr>
          <w:ilvl w:val="1"/>
          <w:numId w:val="2"/>
        </w:numPr>
      </w:pPr>
      <w:r>
        <w:t>Uniform Lifetime Table – for RMD’s unless spouse more than 10 years younger.</w:t>
      </w:r>
      <w:r w:rsidR="00CF4290">
        <w:t xml:space="preserve">  About 1-2 years longer than previously</w:t>
      </w:r>
    </w:p>
    <w:p w14:paraId="7A4EB06D" w14:textId="00D82977" w:rsidR="006B7AD3" w:rsidRDefault="006B7AD3" w:rsidP="006B7AD3">
      <w:pPr>
        <w:pStyle w:val="ListParagraph"/>
        <w:numPr>
          <w:ilvl w:val="1"/>
          <w:numId w:val="2"/>
        </w:numPr>
      </w:pPr>
      <w:r>
        <w:t>Joint &amp; Last Survivor Table – applies to Mr. Young since spouse is sole bene and she is more than 10 years younger</w:t>
      </w:r>
    </w:p>
    <w:p w14:paraId="7FBB5A85" w14:textId="0BB1EA9A" w:rsidR="006B7AD3" w:rsidRDefault="006B7AD3" w:rsidP="006B7AD3">
      <w:pPr>
        <w:pStyle w:val="ListParagraph"/>
        <w:numPr>
          <w:ilvl w:val="1"/>
          <w:numId w:val="2"/>
        </w:numPr>
      </w:pPr>
      <w:r>
        <w:t>Single Life Table – applies to distributions after death of participant</w:t>
      </w:r>
    </w:p>
    <w:p w14:paraId="4381BB56" w14:textId="77777777" w:rsidR="00976E0E" w:rsidRDefault="00976E0E" w:rsidP="00976E0E">
      <w:pPr>
        <w:pStyle w:val="ListParagraph"/>
        <w:ind w:left="1440"/>
      </w:pPr>
    </w:p>
    <w:p w14:paraId="75A7D640" w14:textId="0CD3A3ED" w:rsidR="003E1A18" w:rsidRDefault="003E1A18" w:rsidP="003E1A18">
      <w:pPr>
        <w:pStyle w:val="ListParagraph"/>
        <w:numPr>
          <w:ilvl w:val="0"/>
          <w:numId w:val="2"/>
        </w:numPr>
      </w:pPr>
      <w:r>
        <w:t xml:space="preserve">Charitable </w:t>
      </w:r>
      <w:r w:rsidR="00976E0E">
        <w:t>contribution issues</w:t>
      </w:r>
    </w:p>
    <w:p w14:paraId="2E44619D" w14:textId="30D6E0FD" w:rsidR="00976E0E" w:rsidRDefault="00976E0E" w:rsidP="00976E0E">
      <w:pPr>
        <w:pStyle w:val="ListParagraph"/>
        <w:numPr>
          <w:ilvl w:val="1"/>
          <w:numId w:val="2"/>
        </w:numPr>
      </w:pPr>
      <w:r>
        <w:t>100% of AGI is threshold for cash contributions in 2020 under CARES Act</w:t>
      </w:r>
    </w:p>
    <w:p w14:paraId="68C9E364" w14:textId="07E26C50" w:rsidR="00976E0E" w:rsidRDefault="00976E0E" w:rsidP="00976E0E">
      <w:pPr>
        <w:pStyle w:val="ListParagraph"/>
        <w:numPr>
          <w:ilvl w:val="2"/>
          <w:numId w:val="2"/>
        </w:numPr>
      </w:pPr>
      <w:r>
        <w:t>Does not apply to gifts to DAF</w:t>
      </w:r>
    </w:p>
    <w:p w14:paraId="1461ED11" w14:textId="722DE40E" w:rsidR="00976E0E" w:rsidRDefault="00976E0E" w:rsidP="00976E0E">
      <w:pPr>
        <w:pStyle w:val="ListParagraph"/>
        <w:numPr>
          <w:ilvl w:val="2"/>
          <w:numId w:val="2"/>
        </w:numPr>
      </w:pPr>
      <w:r>
        <w:t>Reverts to 60% in 2021</w:t>
      </w:r>
    </w:p>
    <w:p w14:paraId="2FDB62FA" w14:textId="1C2546E0" w:rsidR="003E1A18" w:rsidRDefault="003E1A18" w:rsidP="003E1A18">
      <w:pPr>
        <w:pStyle w:val="ListParagraph"/>
        <w:numPr>
          <w:ilvl w:val="1"/>
          <w:numId w:val="2"/>
        </w:numPr>
      </w:pPr>
      <w:r>
        <w:lastRenderedPageBreak/>
        <w:t>Loube</w:t>
      </w:r>
      <w:r w:rsidR="000F4D97">
        <w:t xml:space="preserve"> v. Commissioner; TC Memo 2020-3</w:t>
      </w:r>
    </w:p>
    <w:p w14:paraId="5D1CB0AD" w14:textId="640E62CF" w:rsidR="000F4D97" w:rsidRDefault="000F4D97" w:rsidP="000F4D97">
      <w:pPr>
        <w:pStyle w:val="ListParagraph"/>
        <w:numPr>
          <w:ilvl w:val="2"/>
          <w:numId w:val="2"/>
        </w:numPr>
      </w:pPr>
      <w:r>
        <w:t>2013 purchase</w:t>
      </w:r>
      <w:r w:rsidR="00661F66">
        <w:t>d</w:t>
      </w:r>
      <w:r>
        <w:t xml:space="preserve"> home in Potomac MD</w:t>
      </w:r>
      <w:r w:rsidR="002261CE">
        <w:t xml:space="preserve"> with plan to demolish it and build their dream house</w:t>
      </w:r>
    </w:p>
    <w:p w14:paraId="7D028045" w14:textId="34F21543" w:rsidR="000F4D97" w:rsidRDefault="000F4D97" w:rsidP="000F4D97">
      <w:pPr>
        <w:pStyle w:val="ListParagraph"/>
        <w:numPr>
          <w:ilvl w:val="2"/>
          <w:numId w:val="2"/>
        </w:numPr>
      </w:pPr>
      <w:r>
        <w:t>Appraisal  at $297,000</w:t>
      </w:r>
    </w:p>
    <w:p w14:paraId="46268B79" w14:textId="5B470CF8" w:rsidR="000F4D97" w:rsidRDefault="000F4D97" w:rsidP="000F4D97">
      <w:pPr>
        <w:pStyle w:val="ListParagraph"/>
        <w:numPr>
          <w:ilvl w:val="2"/>
          <w:numId w:val="2"/>
        </w:numPr>
      </w:pPr>
      <w:r>
        <w:t xml:space="preserve">Donation of house to </w:t>
      </w:r>
      <w:r w:rsidR="00661F66">
        <w:t xml:space="preserve">501 © (3) - </w:t>
      </w:r>
      <w:r>
        <w:t>Second Chance Inc for deconstruction</w:t>
      </w:r>
      <w:r w:rsidR="00BE7776">
        <w:t xml:space="preserve"> and resale of salvaged materials. </w:t>
      </w:r>
    </w:p>
    <w:p w14:paraId="0097D8D6" w14:textId="23F072B2" w:rsidR="000F4D97" w:rsidRDefault="000F4D97" w:rsidP="000F4D97">
      <w:pPr>
        <w:pStyle w:val="ListParagraph"/>
        <w:numPr>
          <w:ilvl w:val="2"/>
          <w:numId w:val="2"/>
        </w:numPr>
      </w:pPr>
      <w:r>
        <w:t>Donation disallowed because appraisal summary (attached to 8283) did not disclose date of acquisition or cost basis.</w:t>
      </w:r>
      <w:r w:rsidR="00BE7776">
        <w:t xml:space="preserve">  The 8879 was also missing the appraiser’s signature and the signature of the donee.  Failed to furnish all needed information </w:t>
      </w:r>
    </w:p>
    <w:p w14:paraId="08261DC2" w14:textId="77777777" w:rsidR="000F4D97" w:rsidRDefault="000F4D97" w:rsidP="000F4D97">
      <w:pPr>
        <w:pStyle w:val="ListParagraph"/>
        <w:numPr>
          <w:ilvl w:val="2"/>
          <w:numId w:val="2"/>
        </w:numPr>
      </w:pPr>
      <w:r>
        <w:t>Tax Court noted:</w:t>
      </w:r>
    </w:p>
    <w:p w14:paraId="10E5F2C9" w14:textId="77777777" w:rsidR="00F4040F" w:rsidRDefault="000F4D97" w:rsidP="00F4040F">
      <w:pPr>
        <w:spacing w:after="0"/>
        <w:ind w:left="2160"/>
      </w:pPr>
      <w:r>
        <w:t>“a failure to</w:t>
      </w:r>
      <w:r w:rsidR="0076217F">
        <w:t xml:space="preserve"> </w:t>
      </w:r>
      <w:r>
        <w:t>provide the ‘cost or adjusted basis’ on an appraisal summary is a failure to substantially</w:t>
      </w:r>
      <w:r w:rsidR="0076217F">
        <w:t xml:space="preserve"> </w:t>
      </w:r>
      <w:r>
        <w:t>comply” (sic) with the</w:t>
      </w:r>
    </w:p>
    <w:p w14:paraId="1E024FF2" w14:textId="448DD9B6" w:rsidR="000F4D97" w:rsidRDefault="000F4D97" w:rsidP="00F4040F">
      <w:pPr>
        <w:spacing w:after="0"/>
        <w:ind w:left="2160"/>
      </w:pPr>
      <w:r>
        <w:t xml:space="preserve">substantiation regulations, in part because “if cost basis is not </w:t>
      </w:r>
      <w:r w:rsidR="0076217F">
        <w:t>explicitly</w:t>
      </w:r>
    </w:p>
    <w:p w14:paraId="35137BBB" w14:textId="51263957" w:rsidR="000F4D97" w:rsidRDefault="000F4D97" w:rsidP="00F4040F">
      <w:pPr>
        <w:spacing w:after="0"/>
        <w:ind w:left="2160"/>
      </w:pPr>
      <w:r>
        <w:t xml:space="preserve">disclosed where it is required to be disclosed, the Commissioner will be </w:t>
      </w:r>
      <w:r w:rsidR="00F4040F">
        <w:t xml:space="preserve">   </w:t>
      </w:r>
      <w:r>
        <w:t>handicapped in</w:t>
      </w:r>
      <w:r w:rsidR="0076217F">
        <w:t xml:space="preserve"> </w:t>
      </w:r>
      <w:r>
        <w:t>identifying suspicious charitable deductions and deterring taxpayers from ‘continuing to play</w:t>
      </w:r>
      <w:r w:rsidR="0076217F">
        <w:t xml:space="preserve"> </w:t>
      </w:r>
      <w:r>
        <w:t xml:space="preserve">the audit lottery.’’” </w:t>
      </w:r>
    </w:p>
    <w:p w14:paraId="62295F7C" w14:textId="6840FEFF" w:rsidR="000F4D97" w:rsidRDefault="000F4D97" w:rsidP="000F4D97">
      <w:pPr>
        <w:spacing w:after="0"/>
        <w:ind w:left="2880"/>
      </w:pPr>
    </w:p>
    <w:p w14:paraId="3568C723" w14:textId="578870DB" w:rsidR="003E1A18" w:rsidRDefault="00F526A5" w:rsidP="003E1A18">
      <w:pPr>
        <w:pStyle w:val="ListParagraph"/>
        <w:numPr>
          <w:ilvl w:val="0"/>
          <w:numId w:val="2"/>
        </w:numPr>
      </w:pPr>
      <w:r>
        <w:t>Early withdrawal from IRA without penalty – CARES ACT</w:t>
      </w:r>
    </w:p>
    <w:p w14:paraId="555B1D73" w14:textId="0C9BDBF9" w:rsidR="00D91F56" w:rsidRDefault="00D91F56" w:rsidP="00F526A5">
      <w:pPr>
        <w:pStyle w:val="ListParagraph"/>
        <w:numPr>
          <w:ilvl w:val="1"/>
          <w:numId w:val="2"/>
        </w:numPr>
      </w:pPr>
      <w:r>
        <w:t>Up to $100,000</w:t>
      </w:r>
    </w:p>
    <w:p w14:paraId="5252940E" w14:textId="63D38142" w:rsidR="00D91F56" w:rsidRDefault="00D91F56" w:rsidP="00F526A5">
      <w:pPr>
        <w:pStyle w:val="ListParagraph"/>
        <w:numPr>
          <w:ilvl w:val="1"/>
          <w:numId w:val="2"/>
        </w:numPr>
      </w:pPr>
      <w:r>
        <w:t>Tax can be paid over three years</w:t>
      </w:r>
    </w:p>
    <w:p w14:paraId="4412BBEF" w14:textId="0FC65ED3" w:rsidR="00D91F56" w:rsidRDefault="00D91F56" w:rsidP="00F526A5">
      <w:pPr>
        <w:pStyle w:val="ListParagraph"/>
        <w:numPr>
          <w:ilvl w:val="1"/>
          <w:numId w:val="2"/>
        </w:numPr>
      </w:pPr>
      <w:r>
        <w:t>Can recontribute to retirement plan over three years</w:t>
      </w:r>
    </w:p>
    <w:p w14:paraId="48308D55" w14:textId="3FEB7446" w:rsidR="00D91F56" w:rsidRDefault="00D91F56" w:rsidP="00F526A5">
      <w:pPr>
        <w:pStyle w:val="ListParagraph"/>
        <w:numPr>
          <w:ilvl w:val="1"/>
          <w:numId w:val="2"/>
        </w:numPr>
      </w:pPr>
      <w:r>
        <w:t>Must be qualified</w:t>
      </w:r>
      <w:r w:rsidR="00F526A5">
        <w:t xml:space="preserve"> (necessary because of COVID related financial hardship)</w:t>
      </w:r>
    </w:p>
    <w:p w14:paraId="0A785FDB" w14:textId="0117B4E0" w:rsidR="003E1A18" w:rsidRDefault="003E1A18" w:rsidP="00F526A5">
      <w:pPr>
        <w:pStyle w:val="ListParagraph"/>
        <w:numPr>
          <w:ilvl w:val="1"/>
          <w:numId w:val="2"/>
        </w:numPr>
      </w:pPr>
      <w:r>
        <w:t xml:space="preserve">Form 8915-E </w:t>
      </w:r>
    </w:p>
    <w:p w14:paraId="77CCE40D" w14:textId="0A55BBC4" w:rsidR="003E1A18" w:rsidRDefault="003E1A18"/>
    <w:p w14:paraId="1610F731" w14:textId="77777777" w:rsidR="003E1A18" w:rsidRDefault="003E1A18"/>
    <w:sectPr w:rsidR="003E1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87A1E"/>
    <w:multiLevelType w:val="hybridMultilevel"/>
    <w:tmpl w:val="32AA0EC8"/>
    <w:lvl w:ilvl="0" w:tplc="6928BA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496"/>
    <w:multiLevelType w:val="hybridMultilevel"/>
    <w:tmpl w:val="181E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55FAE"/>
    <w:multiLevelType w:val="hybridMultilevel"/>
    <w:tmpl w:val="781C703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D4E14EA"/>
    <w:multiLevelType w:val="hybridMultilevel"/>
    <w:tmpl w:val="7312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8E"/>
    <w:rsid w:val="000E7E1E"/>
    <w:rsid w:val="000F4D97"/>
    <w:rsid w:val="002261CE"/>
    <w:rsid w:val="003E1A18"/>
    <w:rsid w:val="00473640"/>
    <w:rsid w:val="00661F66"/>
    <w:rsid w:val="006B7AD3"/>
    <w:rsid w:val="0076217F"/>
    <w:rsid w:val="007A78CD"/>
    <w:rsid w:val="008E4A30"/>
    <w:rsid w:val="00976E0E"/>
    <w:rsid w:val="00A63564"/>
    <w:rsid w:val="00AE4F0A"/>
    <w:rsid w:val="00AF038E"/>
    <w:rsid w:val="00BE7776"/>
    <w:rsid w:val="00C12924"/>
    <w:rsid w:val="00CF4290"/>
    <w:rsid w:val="00D3093B"/>
    <w:rsid w:val="00D630AC"/>
    <w:rsid w:val="00D91F56"/>
    <w:rsid w:val="00ED49C1"/>
    <w:rsid w:val="00F0485D"/>
    <w:rsid w:val="00F4040F"/>
    <w:rsid w:val="00F526A5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F2D0"/>
  <w15:chartTrackingRefBased/>
  <w15:docId w15:val="{80143512-B54A-4FA6-ABBC-9C32299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Downs</dc:creator>
  <cp:keywords/>
  <dc:description/>
  <cp:lastModifiedBy>Helene Downs</cp:lastModifiedBy>
  <cp:revision>10</cp:revision>
  <dcterms:created xsi:type="dcterms:W3CDTF">2020-11-30T21:08:00Z</dcterms:created>
  <dcterms:modified xsi:type="dcterms:W3CDTF">2020-12-16T16:57:00Z</dcterms:modified>
</cp:coreProperties>
</file>