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557B" w14:textId="652AF1DC" w:rsidR="00760DC8" w:rsidRPr="00760DC8" w:rsidRDefault="00760DC8" w:rsidP="00760DC8">
      <w:pPr>
        <w:spacing w:after="0"/>
        <w:jc w:val="center"/>
        <w:rPr>
          <w:u w:val="single"/>
        </w:rPr>
      </w:pPr>
      <w:r w:rsidRPr="00760DC8">
        <w:rPr>
          <w:u w:val="single"/>
        </w:rPr>
        <w:t>Scenario 1</w:t>
      </w:r>
    </w:p>
    <w:p w14:paraId="597E2CB7" w14:textId="77777777" w:rsidR="00760DC8" w:rsidRDefault="00760DC8" w:rsidP="00D63E3E">
      <w:pPr>
        <w:spacing w:after="0"/>
      </w:pPr>
    </w:p>
    <w:p w14:paraId="1C8F5419" w14:textId="79B61630" w:rsidR="00D63E3E" w:rsidRDefault="001C741C" w:rsidP="00D63E3E">
      <w:pPr>
        <w:spacing w:after="0"/>
      </w:pPr>
      <w:hyperlink r:id="rId5" w:history="1">
        <w:r w:rsidR="00D63E3E" w:rsidRPr="00D63E3E">
          <w:rPr>
            <w:rStyle w:val="Hyperlink"/>
          </w:rPr>
          <w:t>Family First Coronavirus Response Act</w:t>
        </w:r>
      </w:hyperlink>
    </w:p>
    <w:p w14:paraId="2D3D5406" w14:textId="77777777" w:rsidR="00D63E3E" w:rsidRDefault="00D63E3E" w:rsidP="00D63E3E">
      <w:pPr>
        <w:spacing w:after="0"/>
      </w:pPr>
    </w:p>
    <w:p w14:paraId="5582B71C" w14:textId="029E26F6" w:rsidR="00D63E3E" w:rsidRDefault="00D63E3E" w:rsidP="009E0564">
      <w:pPr>
        <w:pStyle w:val="ListParagraph"/>
        <w:numPr>
          <w:ilvl w:val="0"/>
          <w:numId w:val="23"/>
        </w:numPr>
        <w:spacing w:after="0"/>
      </w:pPr>
      <w:r>
        <w:t>Two weeks paid sick leave</w:t>
      </w:r>
    </w:p>
    <w:p w14:paraId="1D4C7CCE" w14:textId="6D472FBF" w:rsidR="00D63E3E" w:rsidRDefault="00D63E3E" w:rsidP="003A001B">
      <w:pPr>
        <w:pStyle w:val="ListParagraph"/>
        <w:numPr>
          <w:ilvl w:val="1"/>
          <w:numId w:val="23"/>
        </w:numPr>
        <w:spacing w:after="0"/>
      </w:pPr>
      <w:r>
        <w:t>Quarantined</w:t>
      </w:r>
    </w:p>
    <w:p w14:paraId="5EFFA39A" w14:textId="0221FE08" w:rsidR="00D63E3E" w:rsidRDefault="00D63E3E" w:rsidP="003A001B">
      <w:pPr>
        <w:pStyle w:val="ListParagraph"/>
        <w:numPr>
          <w:ilvl w:val="1"/>
          <w:numId w:val="23"/>
        </w:numPr>
        <w:spacing w:after="0"/>
      </w:pPr>
      <w:r>
        <w:t>Experiencing COVID-19 symptoms</w:t>
      </w:r>
    </w:p>
    <w:p w14:paraId="05B99AC5" w14:textId="777A2EC1" w:rsidR="00D63E3E" w:rsidRDefault="00D63E3E" w:rsidP="003A001B">
      <w:pPr>
        <w:pStyle w:val="ListParagraph"/>
        <w:numPr>
          <w:ilvl w:val="1"/>
          <w:numId w:val="23"/>
        </w:numPr>
        <w:spacing w:after="0"/>
      </w:pPr>
      <w:r>
        <w:t>Caring for someone who is quarantined</w:t>
      </w:r>
    </w:p>
    <w:p w14:paraId="2560876B" w14:textId="641E3B30" w:rsidR="00D63E3E" w:rsidRDefault="00D63E3E" w:rsidP="003A001B">
      <w:pPr>
        <w:pStyle w:val="ListParagraph"/>
        <w:numPr>
          <w:ilvl w:val="1"/>
          <w:numId w:val="23"/>
        </w:numPr>
        <w:spacing w:after="0"/>
      </w:pPr>
      <w:r>
        <w:t>Caring for a child whose school is closed (up to 12 weeks @ 2/3 pay)</w:t>
      </w:r>
    </w:p>
    <w:p w14:paraId="5A7553E0" w14:textId="4E0181BD" w:rsidR="00D63E3E" w:rsidRDefault="00D63E3E" w:rsidP="009E0564">
      <w:pPr>
        <w:pStyle w:val="ListParagraph"/>
        <w:numPr>
          <w:ilvl w:val="0"/>
          <w:numId w:val="23"/>
        </w:numPr>
        <w:spacing w:after="0"/>
      </w:pPr>
      <w:r>
        <w:t>Claim on form 941 (line 11b)</w:t>
      </w:r>
    </w:p>
    <w:p w14:paraId="1C339C2D" w14:textId="022C4DE3" w:rsidR="006C52D4" w:rsidRDefault="006C52D4" w:rsidP="009E0564">
      <w:pPr>
        <w:pStyle w:val="ListParagraph"/>
        <w:numPr>
          <w:ilvl w:val="0"/>
          <w:numId w:val="23"/>
        </w:numPr>
        <w:spacing w:after="0"/>
      </w:pPr>
      <w:r>
        <w:t>Should be able to claim on amended return</w:t>
      </w:r>
    </w:p>
    <w:p w14:paraId="78B49D28" w14:textId="4E008CF3" w:rsidR="006C52D4" w:rsidRDefault="006C52D4" w:rsidP="006C52D4">
      <w:pPr>
        <w:spacing w:after="0"/>
      </w:pPr>
    </w:p>
    <w:p w14:paraId="062C3819" w14:textId="4904BA6E" w:rsidR="006C52D4" w:rsidRDefault="001C741C" w:rsidP="006C52D4">
      <w:pPr>
        <w:spacing w:after="0"/>
      </w:pPr>
      <w:hyperlink r:id="rId6" w:history="1">
        <w:r w:rsidR="006C52D4" w:rsidRPr="006C52D4">
          <w:rPr>
            <w:rStyle w:val="Hyperlink"/>
          </w:rPr>
          <w:t>Employee Retention Credit</w:t>
        </w:r>
      </w:hyperlink>
    </w:p>
    <w:p w14:paraId="2DEAA142" w14:textId="1D393BB8" w:rsidR="006C52D4" w:rsidRDefault="006C52D4" w:rsidP="006C52D4">
      <w:pPr>
        <w:spacing w:after="0"/>
      </w:pPr>
    </w:p>
    <w:p w14:paraId="37B4B40C" w14:textId="7EAB16CA" w:rsidR="006C52D4" w:rsidRDefault="006C52D4" w:rsidP="009E0564">
      <w:pPr>
        <w:pStyle w:val="ListParagraph"/>
        <w:numPr>
          <w:ilvl w:val="0"/>
          <w:numId w:val="22"/>
        </w:numPr>
        <w:spacing w:after="0"/>
      </w:pPr>
      <w:r>
        <w:t>50% of wages</w:t>
      </w:r>
    </w:p>
    <w:p w14:paraId="619E9C41" w14:textId="659C82C3" w:rsidR="006C52D4" w:rsidRDefault="006C52D4" w:rsidP="009E0564">
      <w:pPr>
        <w:pStyle w:val="ListParagraph"/>
        <w:numPr>
          <w:ilvl w:val="0"/>
          <w:numId w:val="22"/>
        </w:numPr>
        <w:spacing w:after="0"/>
      </w:pPr>
      <w:r>
        <w:t>Fully suspended operations (governmental order) or significantly (50%) reduced gross receipts</w:t>
      </w:r>
    </w:p>
    <w:p w14:paraId="405156CB" w14:textId="36D492F7" w:rsidR="006C52D4" w:rsidRDefault="006C52D4" w:rsidP="009E0564">
      <w:pPr>
        <w:pStyle w:val="ListParagraph"/>
        <w:numPr>
          <w:ilvl w:val="0"/>
          <w:numId w:val="22"/>
        </w:numPr>
        <w:spacing w:after="0"/>
      </w:pPr>
      <w:r>
        <w:t>Maximum of $10,000 wages ($5,000 credit)</w:t>
      </w:r>
    </w:p>
    <w:p w14:paraId="3817D73D" w14:textId="0E98ACEF" w:rsidR="006C52D4" w:rsidRDefault="006C52D4" w:rsidP="009E0564">
      <w:pPr>
        <w:pStyle w:val="ListParagraph"/>
        <w:numPr>
          <w:ilvl w:val="0"/>
          <w:numId w:val="22"/>
        </w:numPr>
        <w:spacing w:after="0"/>
      </w:pPr>
      <w:r>
        <w:t>Not available if you took a PPP loan and expect forgiveness</w:t>
      </w:r>
    </w:p>
    <w:p w14:paraId="122EF597" w14:textId="309450BB" w:rsidR="00255937" w:rsidRDefault="00255937" w:rsidP="009E0564">
      <w:pPr>
        <w:pStyle w:val="ListParagraph"/>
        <w:numPr>
          <w:ilvl w:val="0"/>
          <w:numId w:val="22"/>
        </w:numPr>
        <w:spacing w:after="0"/>
      </w:pPr>
      <w:r>
        <w:t>Could still get payroll tax deferral with PPP loan</w:t>
      </w:r>
    </w:p>
    <w:p w14:paraId="7FD24D2E" w14:textId="11B57378" w:rsidR="006C52D4" w:rsidRDefault="006C52D4" w:rsidP="006C52D4">
      <w:pPr>
        <w:spacing w:after="0"/>
      </w:pPr>
    </w:p>
    <w:p w14:paraId="791B8AAC" w14:textId="7A7D84DB" w:rsidR="006C52D4" w:rsidRDefault="001C741C" w:rsidP="006C52D4">
      <w:pPr>
        <w:spacing w:after="0"/>
      </w:pPr>
      <w:hyperlink r:id="rId7" w:history="1">
        <w:r w:rsidR="006C52D4" w:rsidRPr="006C52D4">
          <w:rPr>
            <w:rStyle w:val="Hyperlink"/>
          </w:rPr>
          <w:t>Payroll Tax Deferral</w:t>
        </w:r>
      </w:hyperlink>
    </w:p>
    <w:p w14:paraId="0A6C16C3" w14:textId="6FB1FA33" w:rsidR="006C52D4" w:rsidRDefault="006C52D4" w:rsidP="006C52D4">
      <w:pPr>
        <w:spacing w:after="0"/>
      </w:pPr>
    </w:p>
    <w:p w14:paraId="19D85BAF" w14:textId="290C16FD" w:rsidR="006C52D4" w:rsidRDefault="00255937" w:rsidP="009E0564">
      <w:pPr>
        <w:pStyle w:val="ListParagraph"/>
        <w:numPr>
          <w:ilvl w:val="0"/>
          <w:numId w:val="21"/>
        </w:numPr>
        <w:spacing w:after="0"/>
      </w:pPr>
      <w:r>
        <w:t>From 3/27/20 through 12/31/20</w:t>
      </w:r>
    </w:p>
    <w:p w14:paraId="4FDAAECB" w14:textId="36C350EA" w:rsidR="00255937" w:rsidRDefault="00255937" w:rsidP="009E0564">
      <w:pPr>
        <w:pStyle w:val="ListParagraph"/>
        <w:numPr>
          <w:ilvl w:val="0"/>
          <w:numId w:val="21"/>
        </w:numPr>
        <w:spacing w:after="0"/>
      </w:pPr>
      <w:r>
        <w:t>Defer employer’s share of Social Security</w:t>
      </w:r>
    </w:p>
    <w:p w14:paraId="7E03FC0B" w14:textId="6A56B028" w:rsidR="00255937" w:rsidRDefault="00255937" w:rsidP="009E0564">
      <w:pPr>
        <w:pStyle w:val="ListParagraph"/>
        <w:numPr>
          <w:ilvl w:val="0"/>
          <w:numId w:val="21"/>
        </w:numPr>
        <w:spacing w:after="0"/>
      </w:pPr>
      <w:r>
        <w:t>Total amount of tax deferred is paid 50% by 12/31/21 and 50% by 12/31/22</w:t>
      </w:r>
    </w:p>
    <w:p w14:paraId="1AB0E046" w14:textId="0E1BE873" w:rsidR="00255937" w:rsidRDefault="00255937" w:rsidP="009E0564">
      <w:pPr>
        <w:pStyle w:val="ListParagraph"/>
        <w:numPr>
          <w:ilvl w:val="0"/>
          <w:numId w:val="21"/>
        </w:numPr>
        <w:spacing w:after="0"/>
      </w:pPr>
      <w:r>
        <w:t>Deferral applies to the deposit of tax – once you deposit it, you can’t claim a refund</w:t>
      </w:r>
    </w:p>
    <w:p w14:paraId="5FB13BD2" w14:textId="2D50E266" w:rsidR="00255937" w:rsidRDefault="00255937" w:rsidP="006C52D4">
      <w:pPr>
        <w:spacing w:after="0"/>
      </w:pPr>
    </w:p>
    <w:p w14:paraId="130A273E" w14:textId="1BDF7123" w:rsidR="00255937" w:rsidRDefault="001C741C" w:rsidP="006C52D4">
      <w:pPr>
        <w:spacing w:after="0"/>
      </w:pPr>
      <w:hyperlink r:id="rId8" w:history="1">
        <w:r w:rsidR="00255937" w:rsidRPr="00561EDC">
          <w:rPr>
            <w:rStyle w:val="Hyperlink"/>
          </w:rPr>
          <w:t>R&amp;D Credit Against Payroll Taxes</w:t>
        </w:r>
      </w:hyperlink>
    </w:p>
    <w:p w14:paraId="01CD84F8" w14:textId="4472D444" w:rsidR="00255937" w:rsidRDefault="00255937" w:rsidP="006C52D4">
      <w:pPr>
        <w:spacing w:after="0"/>
      </w:pPr>
    </w:p>
    <w:p w14:paraId="04461B10" w14:textId="4D638D0F" w:rsidR="00255937" w:rsidRDefault="00255937" w:rsidP="009E0564">
      <w:pPr>
        <w:pStyle w:val="ListParagraph"/>
        <w:numPr>
          <w:ilvl w:val="0"/>
          <w:numId w:val="20"/>
        </w:numPr>
        <w:spacing w:after="0"/>
      </w:pPr>
      <w:r>
        <w:t>Has been available since 2016</w:t>
      </w:r>
    </w:p>
    <w:p w14:paraId="7F274A0B" w14:textId="463DC7BE" w:rsidR="00255937" w:rsidRDefault="00255937" w:rsidP="009E0564">
      <w:pPr>
        <w:pStyle w:val="ListParagraph"/>
        <w:numPr>
          <w:ilvl w:val="0"/>
          <w:numId w:val="20"/>
        </w:numPr>
        <w:spacing w:after="0"/>
      </w:pPr>
      <w:r>
        <w:t>Small businesses can use credit that would otherwise be unused against employer payroll taxes</w:t>
      </w:r>
    </w:p>
    <w:p w14:paraId="4B249C10" w14:textId="297BAF64" w:rsidR="00255937" w:rsidRDefault="00255937" w:rsidP="009E0564">
      <w:pPr>
        <w:pStyle w:val="ListParagraph"/>
        <w:numPr>
          <w:ilvl w:val="0"/>
          <w:numId w:val="20"/>
        </w:numPr>
        <w:spacing w:after="0"/>
      </w:pPr>
      <w:r>
        <w:t xml:space="preserve">File form </w:t>
      </w:r>
      <w:r w:rsidR="00561EDC">
        <w:t>8974 and attach to 941</w:t>
      </w:r>
    </w:p>
    <w:p w14:paraId="09045E3B" w14:textId="240C6F12" w:rsidR="00561EDC" w:rsidRDefault="00561EDC" w:rsidP="009E0564">
      <w:pPr>
        <w:pStyle w:val="ListParagraph"/>
        <w:numPr>
          <w:ilvl w:val="0"/>
          <w:numId w:val="20"/>
        </w:numPr>
        <w:spacing w:after="0"/>
      </w:pPr>
      <w:r>
        <w:t>Maximum of $250,000</w:t>
      </w:r>
    </w:p>
    <w:p w14:paraId="0C0DCAC7" w14:textId="68B6BB1B" w:rsidR="00561EDC" w:rsidRDefault="00561EDC" w:rsidP="009E0564">
      <w:pPr>
        <w:pStyle w:val="ListParagraph"/>
        <w:numPr>
          <w:ilvl w:val="0"/>
          <w:numId w:val="20"/>
        </w:numPr>
        <w:spacing w:after="0"/>
      </w:pPr>
      <w:r>
        <w:t>Must elect the amount to offset against payroll tax on 6765</w:t>
      </w:r>
    </w:p>
    <w:p w14:paraId="4534E522" w14:textId="71D826C7" w:rsidR="00561EDC" w:rsidRDefault="00561EDC" w:rsidP="009E0564">
      <w:pPr>
        <w:pStyle w:val="ListParagraph"/>
        <w:numPr>
          <w:ilvl w:val="0"/>
          <w:numId w:val="20"/>
        </w:numPr>
        <w:spacing w:after="0"/>
      </w:pPr>
      <w:r>
        <w:t>Credit can be taken for all employer taxes, even if you defer the Social Security tax</w:t>
      </w:r>
    </w:p>
    <w:p w14:paraId="0C5497E2" w14:textId="24537FC3" w:rsidR="00561EDC" w:rsidRDefault="00561EDC" w:rsidP="006C52D4">
      <w:pPr>
        <w:spacing w:after="0"/>
      </w:pPr>
    </w:p>
    <w:p w14:paraId="32591A55" w14:textId="687475BA" w:rsidR="00561EDC" w:rsidRDefault="001C741C" w:rsidP="006C52D4">
      <w:pPr>
        <w:spacing w:after="0"/>
      </w:pPr>
      <w:hyperlink r:id="rId9" w:history="1">
        <w:r w:rsidR="00561EDC" w:rsidRPr="00561EDC">
          <w:rPr>
            <w:rStyle w:val="Hyperlink"/>
          </w:rPr>
          <w:t>PPP Loan Taxability</w:t>
        </w:r>
      </w:hyperlink>
    </w:p>
    <w:p w14:paraId="56D55C5A" w14:textId="5244C53B" w:rsidR="00561EDC" w:rsidRDefault="00561EDC" w:rsidP="006C52D4">
      <w:pPr>
        <w:spacing w:after="0"/>
      </w:pPr>
    </w:p>
    <w:p w14:paraId="334F4EC9" w14:textId="559510BE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t>Forgiven loans are clearly not taxable income</w:t>
      </w:r>
    </w:p>
    <w:p w14:paraId="52B0258F" w14:textId="7997702A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t>Congress clearly intended this to be a windfall</w:t>
      </w:r>
    </w:p>
    <w:p w14:paraId="41B6F3E5" w14:textId="463D83A7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t>IRS said expenses paid with forgiven loan proceeds are not deductible</w:t>
      </w:r>
    </w:p>
    <w:p w14:paraId="40F0721D" w14:textId="7BF16410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t>Don’t deduct in 2020 even if you’re not sure whether the loan will be forgiven</w:t>
      </w:r>
    </w:p>
    <w:p w14:paraId="7698B404" w14:textId="03CEDBAE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t>Can go back and deduct expenses if some of the loan is not forgiven</w:t>
      </w:r>
    </w:p>
    <w:p w14:paraId="31CE534A" w14:textId="68634A80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lastRenderedPageBreak/>
        <w:t>Multiple bills in Congress to fix the issue and make the expenses deductible</w:t>
      </w:r>
    </w:p>
    <w:p w14:paraId="442E0F94" w14:textId="0BD5BBCA" w:rsidR="00561EDC" w:rsidRDefault="00561EDC" w:rsidP="009E0564">
      <w:pPr>
        <w:pStyle w:val="ListParagraph"/>
        <w:numPr>
          <w:ilvl w:val="0"/>
          <w:numId w:val="19"/>
        </w:numPr>
        <w:spacing w:after="0"/>
      </w:pPr>
      <w:r>
        <w:t>No timetable for passage</w:t>
      </w:r>
    </w:p>
    <w:p w14:paraId="54E2FBCF" w14:textId="22E32917" w:rsidR="00561EDC" w:rsidRDefault="00561EDC" w:rsidP="006C52D4">
      <w:pPr>
        <w:spacing w:after="0"/>
      </w:pPr>
    </w:p>
    <w:p w14:paraId="7FAC189D" w14:textId="76AFBDB9" w:rsidR="00561EDC" w:rsidRDefault="001C741C" w:rsidP="006C52D4">
      <w:pPr>
        <w:spacing w:after="0"/>
      </w:pPr>
      <w:hyperlink r:id="rId10" w:history="1">
        <w:r w:rsidR="00917446" w:rsidRPr="00917446">
          <w:rPr>
            <w:rStyle w:val="Hyperlink"/>
          </w:rPr>
          <w:t>HHS Payment Taxability</w:t>
        </w:r>
      </w:hyperlink>
    </w:p>
    <w:p w14:paraId="4F0E4E1A" w14:textId="72D72ADC" w:rsidR="00917446" w:rsidRDefault="00917446" w:rsidP="006C52D4">
      <w:pPr>
        <w:spacing w:after="0"/>
      </w:pPr>
    </w:p>
    <w:p w14:paraId="4E05E91E" w14:textId="5B2FE434" w:rsidR="00B928E2" w:rsidRDefault="00B928E2" w:rsidP="009E0564">
      <w:pPr>
        <w:pStyle w:val="ListParagraph"/>
        <w:numPr>
          <w:ilvl w:val="0"/>
          <w:numId w:val="18"/>
        </w:numPr>
        <w:spacing w:after="0"/>
      </w:pPr>
      <w:r>
        <w:t>These were a surprise to many practices</w:t>
      </w:r>
    </w:p>
    <w:p w14:paraId="43943DF2" w14:textId="724F7DB1" w:rsidR="00917446" w:rsidRDefault="00917446" w:rsidP="009E0564">
      <w:pPr>
        <w:pStyle w:val="ListParagraph"/>
        <w:numPr>
          <w:ilvl w:val="0"/>
          <w:numId w:val="18"/>
        </w:numPr>
        <w:spacing w:after="0"/>
      </w:pPr>
      <w:r>
        <w:t xml:space="preserve">Clearly taxable </w:t>
      </w:r>
      <w:r w:rsidR="00B928E2">
        <w:t>unless they had to be repaid because you didn’t meet the requirements</w:t>
      </w:r>
    </w:p>
    <w:p w14:paraId="6E95D4AD" w14:textId="6249DC0C" w:rsidR="00B928E2" w:rsidRDefault="00B928E2" w:rsidP="009E0564">
      <w:pPr>
        <w:pStyle w:val="ListParagraph"/>
        <w:numPr>
          <w:ilvl w:val="0"/>
          <w:numId w:val="18"/>
        </w:numPr>
        <w:spacing w:after="0"/>
      </w:pPr>
      <w:r>
        <w:t>If you don’t know whether you’ll end up meeting the requirements, do you still report it as taxable in 2020?</w:t>
      </w:r>
    </w:p>
    <w:p w14:paraId="4EB751EE" w14:textId="468BAE39" w:rsidR="00B928E2" w:rsidRDefault="00B928E2" w:rsidP="006C52D4">
      <w:pPr>
        <w:spacing w:after="0"/>
      </w:pPr>
    </w:p>
    <w:p w14:paraId="77A78FD4" w14:textId="4498A60B" w:rsidR="00B928E2" w:rsidRDefault="001C741C" w:rsidP="006C52D4">
      <w:pPr>
        <w:spacing w:after="0"/>
      </w:pPr>
      <w:hyperlink r:id="rId11" w:history="1">
        <w:r w:rsidR="00F63148" w:rsidRPr="00F63148">
          <w:rPr>
            <w:rStyle w:val="Hyperlink"/>
          </w:rPr>
          <w:t>Meals and Entertainment</w:t>
        </w:r>
      </w:hyperlink>
    </w:p>
    <w:p w14:paraId="2F26CFC9" w14:textId="1B111D1D" w:rsidR="00F63148" w:rsidRDefault="00F63148" w:rsidP="006C52D4">
      <w:pPr>
        <w:spacing w:after="0"/>
      </w:pPr>
    </w:p>
    <w:p w14:paraId="7A96A558" w14:textId="0B05CF85" w:rsidR="00F63148" w:rsidRDefault="00F63148" w:rsidP="009E0564">
      <w:pPr>
        <w:pStyle w:val="ListParagraph"/>
        <w:numPr>
          <w:ilvl w:val="0"/>
          <w:numId w:val="17"/>
        </w:numPr>
        <w:spacing w:after="0"/>
      </w:pPr>
      <w:r>
        <w:t>Final guidance from IRS in October</w:t>
      </w:r>
    </w:p>
    <w:p w14:paraId="7513E90D" w14:textId="6A0575F3" w:rsidR="00F63148" w:rsidRDefault="00F63148" w:rsidP="009E0564">
      <w:pPr>
        <w:pStyle w:val="ListParagraph"/>
        <w:numPr>
          <w:ilvl w:val="0"/>
          <w:numId w:val="17"/>
        </w:numPr>
        <w:spacing w:after="0"/>
      </w:pPr>
      <w:r>
        <w:t>No deduction if considered entertainment, amusement or recreation</w:t>
      </w:r>
    </w:p>
    <w:p w14:paraId="6E8AEBB4" w14:textId="6DB10AE5" w:rsidR="00F63148" w:rsidRDefault="00F63148" w:rsidP="009E0564">
      <w:pPr>
        <w:pStyle w:val="ListParagraph"/>
        <w:numPr>
          <w:ilvl w:val="0"/>
          <w:numId w:val="17"/>
        </w:numPr>
        <w:spacing w:after="0"/>
      </w:pPr>
      <w:r>
        <w:t>50% limit applies to employee fringe benefits</w:t>
      </w:r>
    </w:p>
    <w:p w14:paraId="3BFBE0D0" w14:textId="1E3C6ECF" w:rsidR="00F63148" w:rsidRDefault="00F63148" w:rsidP="009E0564">
      <w:pPr>
        <w:pStyle w:val="ListParagraph"/>
        <w:numPr>
          <w:ilvl w:val="0"/>
          <w:numId w:val="17"/>
        </w:numPr>
        <w:spacing w:after="0"/>
      </w:pPr>
      <w:r>
        <w:t>Regulations clarify that meals must be separately stated if provided at an entertainment venue to be deductible (subject to 50% limit)</w:t>
      </w:r>
    </w:p>
    <w:p w14:paraId="0F73B2E0" w14:textId="64A1ED46" w:rsidR="00F63148" w:rsidRDefault="00F63148" w:rsidP="006C52D4">
      <w:pPr>
        <w:spacing w:after="0"/>
      </w:pPr>
    </w:p>
    <w:p w14:paraId="33189596" w14:textId="12024CFB" w:rsidR="00F63148" w:rsidRDefault="001C741C" w:rsidP="006C52D4">
      <w:pPr>
        <w:spacing w:after="0"/>
      </w:pPr>
      <w:hyperlink r:id="rId12" w:anchor=":~:text=31%2C%202017%2C%20business%20interest%20expense,floor%20plan%20financing%20interest%20expense." w:history="1">
        <w:r w:rsidR="00F63148" w:rsidRPr="00F63148">
          <w:rPr>
            <w:rStyle w:val="Hyperlink"/>
          </w:rPr>
          <w:t>Business Interest Limitation</w:t>
        </w:r>
      </w:hyperlink>
    </w:p>
    <w:p w14:paraId="3693D0A5" w14:textId="5FB82B46" w:rsidR="00F63148" w:rsidRDefault="00F63148" w:rsidP="006C52D4">
      <w:pPr>
        <w:spacing w:after="0"/>
      </w:pPr>
    </w:p>
    <w:p w14:paraId="3760F465" w14:textId="77496C75" w:rsidR="00F63148" w:rsidRDefault="00F63148" w:rsidP="009E0564">
      <w:pPr>
        <w:pStyle w:val="ListParagraph"/>
        <w:numPr>
          <w:ilvl w:val="0"/>
          <w:numId w:val="16"/>
        </w:numPr>
        <w:spacing w:after="0"/>
      </w:pPr>
      <w:r>
        <w:t>Under TCJA, deduction for business interest was limited to 30% of adjusted taxable income</w:t>
      </w:r>
    </w:p>
    <w:p w14:paraId="56D2B858" w14:textId="12D2AAE0" w:rsidR="00F63148" w:rsidRDefault="00F63148" w:rsidP="009E0564">
      <w:pPr>
        <w:pStyle w:val="ListParagraph"/>
        <w:numPr>
          <w:ilvl w:val="0"/>
          <w:numId w:val="16"/>
        </w:numPr>
        <w:spacing w:after="0"/>
      </w:pPr>
      <w:r>
        <w:t>Under CARES Act, a 50% limit applies for 2019 and 2020</w:t>
      </w:r>
    </w:p>
    <w:p w14:paraId="36F20DE5" w14:textId="58C049AA" w:rsidR="00F63148" w:rsidRDefault="00F63148" w:rsidP="006C52D4">
      <w:pPr>
        <w:spacing w:after="0"/>
      </w:pPr>
    </w:p>
    <w:p w14:paraId="3976D760" w14:textId="2E4267CD" w:rsidR="001C25DC" w:rsidRDefault="001C741C" w:rsidP="006C52D4">
      <w:pPr>
        <w:spacing w:after="0"/>
      </w:pPr>
      <w:hyperlink r:id="rId13" w:history="1">
        <w:r w:rsidR="001C25DC" w:rsidRPr="001C25DC">
          <w:rPr>
            <w:rStyle w:val="Hyperlink"/>
          </w:rPr>
          <w:t>NOLs</w:t>
        </w:r>
      </w:hyperlink>
    </w:p>
    <w:p w14:paraId="3CB95793" w14:textId="2D61889B" w:rsidR="001C25DC" w:rsidRDefault="001C25DC" w:rsidP="006C52D4">
      <w:pPr>
        <w:spacing w:after="0"/>
      </w:pPr>
    </w:p>
    <w:p w14:paraId="40BF9646" w14:textId="13FAA7E7" w:rsidR="00C70BD6" w:rsidRDefault="00C70BD6" w:rsidP="009E0564">
      <w:pPr>
        <w:pStyle w:val="ListParagraph"/>
        <w:numPr>
          <w:ilvl w:val="0"/>
          <w:numId w:val="15"/>
        </w:numPr>
        <w:spacing w:after="0"/>
      </w:pPr>
      <w:r>
        <w:t>Under TCJA, NOLs could not be carried back, but carry forward indefinitely</w:t>
      </w:r>
    </w:p>
    <w:p w14:paraId="54741D95" w14:textId="256B8717" w:rsidR="00C70BD6" w:rsidRDefault="00C70BD6" w:rsidP="009E0564">
      <w:pPr>
        <w:pStyle w:val="ListParagraph"/>
        <w:numPr>
          <w:ilvl w:val="0"/>
          <w:numId w:val="15"/>
        </w:numPr>
        <w:spacing w:after="0"/>
      </w:pPr>
      <w:r>
        <w:t>Also NOLs generated after 2017 can only offset 80% of taxable income in the year they’re carried to</w:t>
      </w:r>
    </w:p>
    <w:p w14:paraId="292A55EC" w14:textId="74B08431" w:rsidR="00C70BD6" w:rsidRDefault="00C70BD6" w:rsidP="009E0564">
      <w:pPr>
        <w:pStyle w:val="ListParagraph"/>
        <w:numPr>
          <w:ilvl w:val="0"/>
          <w:numId w:val="15"/>
        </w:numPr>
        <w:spacing w:after="0"/>
      </w:pPr>
      <w:r>
        <w:t>Under CARES Act, losses from 2018-2020 can be carried back five years</w:t>
      </w:r>
    </w:p>
    <w:p w14:paraId="32CC3B25" w14:textId="209D2584" w:rsidR="00C70BD6" w:rsidRDefault="00C70BD6" w:rsidP="009E0564">
      <w:pPr>
        <w:pStyle w:val="ListParagraph"/>
        <w:numPr>
          <w:ilvl w:val="0"/>
          <w:numId w:val="15"/>
        </w:numPr>
        <w:spacing w:after="0"/>
      </w:pPr>
      <w:r>
        <w:t>Also, the 80% limit is eliminated for losses generated in 2018-2020</w:t>
      </w:r>
    </w:p>
    <w:p w14:paraId="47B4FC63" w14:textId="1239B2F9" w:rsidR="00C70BD6" w:rsidRDefault="00C70BD6" w:rsidP="009E0564">
      <w:pPr>
        <w:pStyle w:val="ListParagraph"/>
        <w:numPr>
          <w:ilvl w:val="0"/>
          <w:numId w:val="15"/>
        </w:numPr>
        <w:spacing w:after="0"/>
      </w:pPr>
      <w:r>
        <w:t>Losses generated before 2018 can still be used to offset 100% of taxable income whenever they’re used (but watch out for AMT for individuals)</w:t>
      </w:r>
    </w:p>
    <w:p w14:paraId="4A93B247" w14:textId="25729D6B" w:rsidR="00C70BD6" w:rsidRDefault="00C70BD6" w:rsidP="00C70BD6">
      <w:pPr>
        <w:spacing w:after="0"/>
      </w:pPr>
    </w:p>
    <w:p w14:paraId="390DCA71" w14:textId="02F1959D" w:rsidR="00C70BD6" w:rsidRDefault="001C741C" w:rsidP="00C70BD6">
      <w:pPr>
        <w:spacing w:after="0"/>
      </w:pPr>
      <w:hyperlink r:id="rId14" w:history="1">
        <w:r w:rsidR="009E0564" w:rsidRPr="009E0564">
          <w:rPr>
            <w:rStyle w:val="Hyperlink"/>
          </w:rPr>
          <w:t>Form 1099-NEC</w:t>
        </w:r>
      </w:hyperlink>
    </w:p>
    <w:p w14:paraId="69E34ADC" w14:textId="4FBBDA46" w:rsidR="009E0564" w:rsidRDefault="009E0564" w:rsidP="00C70BD6">
      <w:pPr>
        <w:spacing w:after="0"/>
      </w:pPr>
    </w:p>
    <w:p w14:paraId="74B18F09" w14:textId="0EC07E8E" w:rsidR="009E0564" w:rsidRDefault="009E0564" w:rsidP="009E0564">
      <w:pPr>
        <w:pStyle w:val="ListParagraph"/>
        <w:numPr>
          <w:ilvl w:val="0"/>
          <w:numId w:val="13"/>
        </w:numPr>
        <w:spacing w:after="0"/>
      </w:pPr>
      <w:r>
        <w:t>Reports non-employee compensation</w:t>
      </w:r>
    </w:p>
    <w:p w14:paraId="0C5662BE" w14:textId="65FB1D27" w:rsidR="009E0564" w:rsidRDefault="009E0564" w:rsidP="009E0564">
      <w:pPr>
        <w:pStyle w:val="ListParagraph"/>
        <w:numPr>
          <w:ilvl w:val="0"/>
          <w:numId w:val="13"/>
        </w:numPr>
        <w:spacing w:after="0"/>
      </w:pPr>
      <w:r>
        <w:t>That box removed from form 1099-MISC</w:t>
      </w:r>
    </w:p>
    <w:p w14:paraId="6D9A3E60" w14:textId="08906A3D" w:rsidR="009E0564" w:rsidRDefault="009E0564" w:rsidP="009E0564">
      <w:pPr>
        <w:pStyle w:val="ListParagraph"/>
        <w:numPr>
          <w:ilvl w:val="0"/>
          <w:numId w:val="13"/>
        </w:numPr>
        <w:spacing w:after="0"/>
      </w:pPr>
      <w:r>
        <w:t>Still due to recipients by 2/1, but also due to IRS on that date</w:t>
      </w:r>
    </w:p>
    <w:p w14:paraId="681A95D5" w14:textId="52351256" w:rsidR="009E0564" w:rsidRDefault="009E0564" w:rsidP="009E0564">
      <w:pPr>
        <w:pStyle w:val="ListParagraph"/>
        <w:numPr>
          <w:ilvl w:val="0"/>
          <w:numId w:val="13"/>
        </w:numPr>
        <w:spacing w:after="0"/>
      </w:pPr>
      <w:r>
        <w:t>1099-MISC used to be due to the IRS by 2/28, but has been pushed back to 3/31</w:t>
      </w:r>
    </w:p>
    <w:p w14:paraId="590D4C66" w14:textId="1F0390BE" w:rsidR="009E0564" w:rsidRDefault="009E0564" w:rsidP="009E0564">
      <w:pPr>
        <w:pStyle w:val="ListParagraph"/>
        <w:numPr>
          <w:ilvl w:val="0"/>
          <w:numId w:val="13"/>
        </w:numPr>
        <w:spacing w:after="0"/>
      </w:pPr>
      <w:r>
        <w:t>1099-MISC still due to recipients by 2/1</w:t>
      </w:r>
    </w:p>
    <w:p w14:paraId="6317D4C8" w14:textId="2748573D" w:rsidR="009E0564" w:rsidRDefault="009E0564" w:rsidP="00C70BD6">
      <w:pPr>
        <w:spacing w:after="0"/>
      </w:pPr>
    </w:p>
    <w:p w14:paraId="53FBADA8" w14:textId="0CB3337F" w:rsidR="009E0564" w:rsidRDefault="001C741C" w:rsidP="009E0564">
      <w:pPr>
        <w:spacing w:after="0"/>
      </w:pPr>
      <w:hyperlink r:id="rId15" w:history="1">
        <w:r w:rsidR="009E0564" w:rsidRPr="009E0564">
          <w:rPr>
            <w:rStyle w:val="Hyperlink"/>
          </w:rPr>
          <w:t>Excess Business Losses</w:t>
        </w:r>
      </w:hyperlink>
    </w:p>
    <w:p w14:paraId="70F3CBA3" w14:textId="77777777" w:rsidR="009E0564" w:rsidRDefault="009E0564" w:rsidP="009E0564">
      <w:pPr>
        <w:spacing w:after="0"/>
      </w:pPr>
    </w:p>
    <w:p w14:paraId="634385E1" w14:textId="7941EB7B" w:rsidR="009E0564" w:rsidRDefault="009E0564" w:rsidP="009E0564">
      <w:pPr>
        <w:pStyle w:val="ListParagraph"/>
        <w:numPr>
          <w:ilvl w:val="0"/>
          <w:numId w:val="24"/>
        </w:numPr>
        <w:spacing w:after="0"/>
      </w:pPr>
      <w:r>
        <w:lastRenderedPageBreak/>
        <w:t>Under TCJA, each noncorporate taxpayer could only deduct $250,000 of business losses</w:t>
      </w:r>
    </w:p>
    <w:p w14:paraId="3073F336" w14:textId="77777777" w:rsidR="009E0564" w:rsidRDefault="009E0564" w:rsidP="009E0564">
      <w:pPr>
        <w:pStyle w:val="ListParagraph"/>
        <w:numPr>
          <w:ilvl w:val="0"/>
          <w:numId w:val="15"/>
        </w:numPr>
        <w:spacing w:after="0"/>
      </w:pPr>
      <w:r>
        <w:t>Under CARES Act, there is no limit for 2018-2020</w:t>
      </w:r>
    </w:p>
    <w:p w14:paraId="6B463CBA" w14:textId="443570CD" w:rsidR="009E0564" w:rsidRDefault="000C5EE3" w:rsidP="009E0564">
      <w:pPr>
        <w:pStyle w:val="ListParagraph"/>
        <w:numPr>
          <w:ilvl w:val="0"/>
          <w:numId w:val="15"/>
        </w:numPr>
        <w:spacing w:after="0"/>
      </w:pPr>
      <w:r>
        <w:t xml:space="preserve">If a </w:t>
      </w:r>
      <w:r w:rsidR="009E0564">
        <w:t xml:space="preserve">rental activity is linked to </w:t>
      </w:r>
      <w:r>
        <w:t>a business</w:t>
      </w:r>
      <w:r w:rsidR="009E0564">
        <w:t xml:space="preserve">, those losses could have been considered business losses (nonpassive), and </w:t>
      </w:r>
      <w:r>
        <w:t>if</w:t>
      </w:r>
      <w:r w:rsidR="009E0564">
        <w:t xml:space="preserve"> the </w:t>
      </w:r>
      <w:r>
        <w:t>business</w:t>
      </w:r>
      <w:r w:rsidR="009E0564">
        <w:t xml:space="preserve"> is a C </w:t>
      </w:r>
      <w:proofErr w:type="spellStart"/>
      <w:r w:rsidR="009E0564">
        <w:t>corp</w:t>
      </w:r>
      <w:proofErr w:type="spellEnd"/>
      <w:r w:rsidR="009E0564">
        <w:t>, the excess rental loss would not be available to offset salaries</w:t>
      </w:r>
      <w:r>
        <w:t xml:space="preserve"> or profit</w:t>
      </w:r>
    </w:p>
    <w:p w14:paraId="6B439C0F" w14:textId="4494EF6A" w:rsidR="009E0564" w:rsidRDefault="009E0564" w:rsidP="00C70BD6">
      <w:pPr>
        <w:spacing w:after="0"/>
      </w:pPr>
    </w:p>
    <w:p w14:paraId="20B17FBA" w14:textId="052B30E6" w:rsidR="00490143" w:rsidRDefault="001C741C" w:rsidP="00C70BD6">
      <w:pPr>
        <w:spacing w:after="0"/>
      </w:pPr>
      <w:hyperlink r:id="rId16" w:history="1">
        <w:r w:rsidR="00490143" w:rsidRPr="00490143">
          <w:rPr>
            <w:rStyle w:val="Hyperlink"/>
          </w:rPr>
          <w:t>Partnership Capital Account Reporting</w:t>
        </w:r>
      </w:hyperlink>
    </w:p>
    <w:p w14:paraId="64FF933C" w14:textId="3BC06107" w:rsidR="00490143" w:rsidRDefault="00490143" w:rsidP="00C70BD6">
      <w:pPr>
        <w:spacing w:after="0"/>
      </w:pPr>
    </w:p>
    <w:p w14:paraId="5E572986" w14:textId="360491F2" w:rsidR="00490143" w:rsidRDefault="00490143" w:rsidP="00490143">
      <w:pPr>
        <w:pStyle w:val="ListParagraph"/>
        <w:numPr>
          <w:ilvl w:val="0"/>
          <w:numId w:val="25"/>
        </w:numPr>
        <w:spacing w:after="0"/>
      </w:pPr>
      <w:r>
        <w:t>Tax basis reporting required starting with 2020 returns</w:t>
      </w:r>
    </w:p>
    <w:p w14:paraId="685FD218" w14:textId="579E3BBE" w:rsidR="00490143" w:rsidRDefault="00490143" w:rsidP="00490143">
      <w:pPr>
        <w:pStyle w:val="ListParagraph"/>
        <w:numPr>
          <w:ilvl w:val="0"/>
          <w:numId w:val="25"/>
        </w:numPr>
        <w:spacing w:after="0"/>
      </w:pPr>
      <w:r>
        <w:t>The “transactional approach” prescribed is essentially consistent with how we have generally calculated tax basis capital accounts</w:t>
      </w:r>
    </w:p>
    <w:p w14:paraId="38CFA2F2" w14:textId="4DCDEE74" w:rsidR="00490143" w:rsidRDefault="00490143" w:rsidP="00490143">
      <w:pPr>
        <w:pStyle w:val="ListParagraph"/>
        <w:numPr>
          <w:ilvl w:val="0"/>
          <w:numId w:val="25"/>
        </w:numPr>
        <w:spacing w:after="0"/>
      </w:pPr>
      <w:r>
        <w:t>Beginning tax-basis capital can be calculated using various methods</w:t>
      </w:r>
    </w:p>
    <w:p w14:paraId="7041AA09" w14:textId="28A75214" w:rsidR="00490143" w:rsidRDefault="00490143" w:rsidP="00490143">
      <w:pPr>
        <w:pStyle w:val="ListParagraph"/>
        <w:numPr>
          <w:ilvl w:val="0"/>
          <w:numId w:val="25"/>
        </w:numPr>
        <w:spacing w:after="0"/>
      </w:pPr>
      <w:r>
        <w:t>Penalty relief for errors in beginning tax capital if reasonable care was taken to get it right</w:t>
      </w:r>
    </w:p>
    <w:p w14:paraId="2994AA57" w14:textId="5A435999" w:rsidR="00490143" w:rsidRDefault="00490143" w:rsidP="00C70BD6">
      <w:pPr>
        <w:spacing w:after="0"/>
      </w:pPr>
    </w:p>
    <w:p w14:paraId="64D13658" w14:textId="02375A7B" w:rsidR="00760DC8" w:rsidRPr="00760DC8" w:rsidRDefault="00760DC8" w:rsidP="00760DC8">
      <w:pPr>
        <w:spacing w:after="0"/>
        <w:jc w:val="center"/>
        <w:rPr>
          <w:u w:val="single"/>
        </w:rPr>
      </w:pPr>
      <w:r w:rsidRPr="00760DC8">
        <w:rPr>
          <w:u w:val="single"/>
        </w:rPr>
        <w:t>Scenario 3</w:t>
      </w:r>
    </w:p>
    <w:p w14:paraId="2096DC1B" w14:textId="77777777" w:rsidR="00760DC8" w:rsidRDefault="00760DC8" w:rsidP="00C70BD6">
      <w:pPr>
        <w:spacing w:after="0"/>
      </w:pPr>
    </w:p>
    <w:p w14:paraId="043A08B7" w14:textId="5A092CC4" w:rsidR="00490143" w:rsidRDefault="001C741C" w:rsidP="00C70BD6">
      <w:pPr>
        <w:spacing w:after="0"/>
      </w:pPr>
      <w:hyperlink r:id="rId17" w:history="1">
        <w:r w:rsidR="00805D25" w:rsidRPr="00805D25">
          <w:rPr>
            <w:rStyle w:val="Hyperlink"/>
          </w:rPr>
          <w:t>Economic Impact Payment</w:t>
        </w:r>
      </w:hyperlink>
    </w:p>
    <w:p w14:paraId="2D073ABD" w14:textId="09652ED8" w:rsidR="00805D25" w:rsidRDefault="00805D25" w:rsidP="00C70BD6">
      <w:pPr>
        <w:spacing w:after="0"/>
      </w:pPr>
    </w:p>
    <w:p w14:paraId="09C2C134" w14:textId="3A2DB6E7" w:rsidR="00805D25" w:rsidRDefault="00D1497F" w:rsidP="00D1497F">
      <w:pPr>
        <w:pStyle w:val="ListParagraph"/>
        <w:numPr>
          <w:ilvl w:val="0"/>
          <w:numId w:val="26"/>
        </w:numPr>
        <w:spacing w:after="0"/>
      </w:pPr>
      <w:r>
        <w:t>Treated as an advance of the Recovery Rebate Credit</w:t>
      </w:r>
    </w:p>
    <w:p w14:paraId="06CE8FD7" w14:textId="66638CF7" w:rsidR="00D1497F" w:rsidRDefault="00D1497F" w:rsidP="00D1497F">
      <w:pPr>
        <w:pStyle w:val="ListParagraph"/>
        <w:numPr>
          <w:ilvl w:val="0"/>
          <w:numId w:val="26"/>
        </w:numPr>
        <w:spacing w:after="0"/>
      </w:pPr>
      <w:r>
        <w:t>If you didn’t get an advance, but qualify for the credit, you can claim it on the 2020 return</w:t>
      </w:r>
    </w:p>
    <w:p w14:paraId="1423C99B" w14:textId="14923287" w:rsidR="00D1497F" w:rsidRDefault="00D1497F" w:rsidP="00D1497F">
      <w:pPr>
        <w:pStyle w:val="ListParagraph"/>
        <w:numPr>
          <w:ilvl w:val="0"/>
          <w:numId w:val="26"/>
        </w:numPr>
        <w:spacing w:after="0"/>
      </w:pPr>
      <w:r>
        <w:t>If you got an advance for more than the credit you ultimately qualify for, you do not have to pay it back</w:t>
      </w:r>
    </w:p>
    <w:p w14:paraId="47A93118" w14:textId="40CD4D92" w:rsidR="00D1497F" w:rsidRDefault="00D1497F" w:rsidP="00C70BD6">
      <w:pPr>
        <w:spacing w:after="0"/>
      </w:pPr>
    </w:p>
    <w:p w14:paraId="1F25AA70" w14:textId="53A6EA80" w:rsidR="00D1497F" w:rsidRDefault="001C741C" w:rsidP="00C70BD6">
      <w:pPr>
        <w:spacing w:after="0"/>
      </w:pPr>
      <w:hyperlink r:id="rId18" w:history="1">
        <w:r w:rsidR="00B4175B" w:rsidRPr="00B4175B">
          <w:rPr>
            <w:rStyle w:val="Hyperlink"/>
          </w:rPr>
          <w:t>Kiddie Tax</w:t>
        </w:r>
      </w:hyperlink>
    </w:p>
    <w:p w14:paraId="567B89D6" w14:textId="5C63B3E0" w:rsidR="00B4175B" w:rsidRDefault="00B4175B" w:rsidP="00C70BD6">
      <w:pPr>
        <w:spacing w:after="0"/>
      </w:pPr>
    </w:p>
    <w:p w14:paraId="77F8901B" w14:textId="306CC653" w:rsidR="00B4175B" w:rsidRDefault="00B4175B" w:rsidP="00CC3DEE">
      <w:pPr>
        <w:pStyle w:val="ListParagraph"/>
        <w:numPr>
          <w:ilvl w:val="0"/>
          <w:numId w:val="27"/>
        </w:numPr>
        <w:spacing w:after="0"/>
      </w:pPr>
      <w:r>
        <w:t>Before TCJA – taxed at parents’ marginal rates</w:t>
      </w:r>
    </w:p>
    <w:p w14:paraId="5801263B" w14:textId="4423077E" w:rsidR="00B4175B" w:rsidRDefault="00B4175B" w:rsidP="00CC3DEE">
      <w:pPr>
        <w:pStyle w:val="ListParagraph"/>
        <w:numPr>
          <w:ilvl w:val="0"/>
          <w:numId w:val="27"/>
        </w:numPr>
        <w:spacing w:after="0"/>
      </w:pPr>
      <w:r>
        <w:t>After TCJA – taxes at trust rates</w:t>
      </w:r>
    </w:p>
    <w:p w14:paraId="0EE34737" w14:textId="08791EF8" w:rsidR="00B4175B" w:rsidRDefault="00B4175B" w:rsidP="00CC3DEE">
      <w:pPr>
        <w:pStyle w:val="ListParagraph"/>
        <w:numPr>
          <w:ilvl w:val="0"/>
          <w:numId w:val="27"/>
        </w:numPr>
        <w:spacing w:after="0"/>
      </w:pPr>
      <w:r>
        <w:t>After Further Consolidated Appropriations Act – back to the parents’ marginal rates</w:t>
      </w:r>
    </w:p>
    <w:p w14:paraId="29A5BFC0" w14:textId="583C8825" w:rsidR="00B4175B" w:rsidRDefault="00B4175B" w:rsidP="00CC3DEE">
      <w:pPr>
        <w:pStyle w:val="ListParagraph"/>
        <w:numPr>
          <w:ilvl w:val="0"/>
          <w:numId w:val="27"/>
        </w:numPr>
        <w:spacing w:after="0"/>
      </w:pPr>
      <w:r>
        <w:t>Effective for 2020, but can be elected for 2018 and 2019</w:t>
      </w:r>
    </w:p>
    <w:p w14:paraId="253FE2DD" w14:textId="6A99E9B5" w:rsidR="00B4175B" w:rsidRDefault="00B4175B" w:rsidP="00CC3DEE">
      <w:pPr>
        <w:pStyle w:val="ListParagraph"/>
        <w:numPr>
          <w:ilvl w:val="0"/>
          <w:numId w:val="27"/>
        </w:numPr>
        <w:spacing w:after="0"/>
      </w:pPr>
      <w:r>
        <w:t>Reason for change was effect on Gold Star Families</w:t>
      </w:r>
    </w:p>
    <w:p w14:paraId="2DA7ABB5" w14:textId="6251E245" w:rsidR="00B4175B" w:rsidRDefault="00CC3DEE" w:rsidP="00CC3DEE">
      <w:pPr>
        <w:pStyle w:val="ListParagraph"/>
        <w:numPr>
          <w:ilvl w:val="0"/>
          <w:numId w:val="27"/>
        </w:numPr>
        <w:spacing w:after="0"/>
      </w:pPr>
      <w:r>
        <w:t>More than $2,200 of unearned income</w:t>
      </w:r>
    </w:p>
    <w:p w14:paraId="7A624CA0" w14:textId="61522A10" w:rsidR="00CC3DEE" w:rsidRDefault="00CC3DEE" w:rsidP="00CC3DEE">
      <w:pPr>
        <w:pStyle w:val="ListParagraph"/>
        <w:numPr>
          <w:ilvl w:val="0"/>
          <w:numId w:val="27"/>
        </w:numPr>
        <w:spacing w:after="0"/>
      </w:pPr>
      <w:r>
        <w:t>Under 18 or under 23 if a full-time student</w:t>
      </w:r>
    </w:p>
    <w:p w14:paraId="28248C98" w14:textId="7DD61D61" w:rsidR="00CC3DEE" w:rsidRDefault="00CC3DEE" w:rsidP="00CC3DEE">
      <w:pPr>
        <w:pStyle w:val="ListParagraph"/>
        <w:numPr>
          <w:ilvl w:val="0"/>
          <w:numId w:val="27"/>
        </w:numPr>
        <w:spacing w:after="0"/>
      </w:pPr>
      <w:r>
        <w:t>Form 8814 to report on parents’ return</w:t>
      </w:r>
    </w:p>
    <w:p w14:paraId="1A321A29" w14:textId="71C272C2" w:rsidR="00CC3DEE" w:rsidRDefault="00CC3DEE" w:rsidP="00CC3DEE">
      <w:pPr>
        <w:pStyle w:val="ListParagraph"/>
        <w:numPr>
          <w:ilvl w:val="0"/>
          <w:numId w:val="27"/>
        </w:numPr>
        <w:spacing w:after="0"/>
      </w:pPr>
      <w:r>
        <w:t>Up to $11,000 – all unearned</w:t>
      </w:r>
    </w:p>
    <w:p w14:paraId="4BB97509" w14:textId="0294DBFD" w:rsidR="00CC3DEE" w:rsidRDefault="00CC3DEE" w:rsidP="00C70BD6">
      <w:pPr>
        <w:spacing w:after="0"/>
      </w:pPr>
    </w:p>
    <w:p w14:paraId="23C83587" w14:textId="47A9DD32" w:rsidR="00631B61" w:rsidRDefault="001C741C" w:rsidP="00C70BD6">
      <w:pPr>
        <w:spacing w:after="0"/>
      </w:pPr>
      <w:hyperlink r:id="rId19" w:history="1">
        <w:r w:rsidR="00631B61" w:rsidRPr="00631B61">
          <w:rPr>
            <w:rStyle w:val="Hyperlink"/>
          </w:rPr>
          <w:t>Private Mortgage Interest</w:t>
        </w:r>
      </w:hyperlink>
    </w:p>
    <w:p w14:paraId="6D1EC8A3" w14:textId="51040ED3" w:rsidR="00631B61" w:rsidRDefault="00631B61" w:rsidP="00C70BD6">
      <w:pPr>
        <w:spacing w:after="0"/>
      </w:pPr>
    </w:p>
    <w:p w14:paraId="23B98700" w14:textId="181B47AA" w:rsidR="00631B61" w:rsidRDefault="00573E3E" w:rsidP="00573E3E">
      <w:pPr>
        <w:pStyle w:val="ListParagraph"/>
        <w:numPr>
          <w:ilvl w:val="0"/>
          <w:numId w:val="29"/>
        </w:numPr>
        <w:spacing w:after="0"/>
      </w:pPr>
      <w:r>
        <w:t>Deduction had gone away in 2017</w:t>
      </w:r>
    </w:p>
    <w:p w14:paraId="69990D83" w14:textId="0565F881" w:rsidR="00573E3E" w:rsidRDefault="00573E3E" w:rsidP="00573E3E">
      <w:pPr>
        <w:pStyle w:val="ListParagraph"/>
        <w:numPr>
          <w:ilvl w:val="0"/>
          <w:numId w:val="29"/>
        </w:numPr>
        <w:spacing w:after="0"/>
      </w:pPr>
      <w:r>
        <w:t>Renewed retroactive to 2018 by the Further Consolidated Appropriations Act, passed in December 2019</w:t>
      </w:r>
    </w:p>
    <w:p w14:paraId="33FB24D6" w14:textId="00E2C5F2" w:rsidR="00573E3E" w:rsidRDefault="00573E3E" w:rsidP="00573E3E">
      <w:pPr>
        <w:pStyle w:val="ListParagraph"/>
        <w:numPr>
          <w:ilvl w:val="0"/>
          <w:numId w:val="29"/>
        </w:numPr>
        <w:spacing w:after="0"/>
      </w:pPr>
      <w:r>
        <w:t>Mortgage must have been taken out after 12/31/06</w:t>
      </w:r>
    </w:p>
    <w:p w14:paraId="16D08C5D" w14:textId="685E66C9" w:rsidR="00573E3E" w:rsidRDefault="00573E3E" w:rsidP="00573E3E">
      <w:pPr>
        <w:pStyle w:val="ListParagraph"/>
        <w:numPr>
          <w:ilvl w:val="0"/>
          <w:numId w:val="29"/>
        </w:numPr>
        <w:spacing w:after="0"/>
      </w:pPr>
      <w:r>
        <w:t>Deduction phases out at AGI of $110,000 for MFJ</w:t>
      </w:r>
    </w:p>
    <w:p w14:paraId="089A1360" w14:textId="2121BDB2" w:rsidR="00573E3E" w:rsidRDefault="000C5EE3" w:rsidP="00573E3E">
      <w:pPr>
        <w:pStyle w:val="ListParagraph"/>
        <w:numPr>
          <w:ilvl w:val="0"/>
          <w:numId w:val="29"/>
        </w:numPr>
        <w:spacing w:after="0"/>
      </w:pPr>
      <w:r>
        <w:lastRenderedPageBreak/>
        <w:t xml:space="preserve">Interest is </w:t>
      </w:r>
      <w:r w:rsidR="00573E3E">
        <w:t>deductible up to $1 million of debt before 2018, and $750,000 if the mortgage started after that</w:t>
      </w:r>
    </w:p>
    <w:p w14:paraId="3B1234AB" w14:textId="77777777" w:rsidR="00631B61" w:rsidRDefault="00631B61" w:rsidP="00C70BD6">
      <w:pPr>
        <w:spacing w:after="0"/>
      </w:pPr>
    </w:p>
    <w:p w14:paraId="71E90281" w14:textId="5E9C1545" w:rsidR="00805D25" w:rsidRDefault="001C741C" w:rsidP="00C70BD6">
      <w:pPr>
        <w:spacing w:after="0"/>
      </w:pPr>
      <w:hyperlink r:id="rId20" w:history="1">
        <w:r w:rsidR="00CC3DEE" w:rsidRPr="00760DC8">
          <w:rPr>
            <w:rStyle w:val="Hyperlink"/>
          </w:rPr>
          <w:t>Charitable Contribution Adjustment</w:t>
        </w:r>
      </w:hyperlink>
    </w:p>
    <w:p w14:paraId="25C811B5" w14:textId="075C0B8C" w:rsidR="00760DC8" w:rsidRDefault="00760DC8" w:rsidP="00C70BD6">
      <w:pPr>
        <w:spacing w:after="0"/>
      </w:pPr>
    </w:p>
    <w:p w14:paraId="7133B593" w14:textId="6A26CF6D" w:rsidR="00760DC8" w:rsidRDefault="00760DC8" w:rsidP="00760DC8">
      <w:pPr>
        <w:pStyle w:val="ListParagraph"/>
        <w:numPr>
          <w:ilvl w:val="0"/>
          <w:numId w:val="28"/>
        </w:numPr>
        <w:spacing w:after="0"/>
      </w:pPr>
      <w:r>
        <w:t>$300 allowed as an above-the-line deduction for non-itemizers</w:t>
      </w:r>
    </w:p>
    <w:p w14:paraId="6DF08919" w14:textId="7F49D3D5" w:rsidR="00760DC8" w:rsidRDefault="00760DC8" w:rsidP="00760DC8">
      <w:pPr>
        <w:pStyle w:val="ListParagraph"/>
        <w:numPr>
          <w:ilvl w:val="0"/>
          <w:numId w:val="28"/>
        </w:numPr>
        <w:spacing w:after="0"/>
      </w:pPr>
      <w:r>
        <w:t>Many people no longer itemize thanks to increase standard deduction</w:t>
      </w:r>
    </w:p>
    <w:p w14:paraId="4E508A90" w14:textId="1BC2729C" w:rsidR="00760DC8" w:rsidRDefault="00760DC8" w:rsidP="00760DC8">
      <w:pPr>
        <w:pStyle w:val="ListParagraph"/>
        <w:numPr>
          <w:ilvl w:val="0"/>
          <w:numId w:val="28"/>
        </w:numPr>
        <w:spacing w:after="0"/>
      </w:pPr>
      <w:r>
        <w:t>Excess contributions do not carry over</w:t>
      </w:r>
    </w:p>
    <w:p w14:paraId="0DB39741" w14:textId="77373E0B" w:rsidR="00760DC8" w:rsidRDefault="00760DC8" w:rsidP="00760DC8">
      <w:pPr>
        <w:pStyle w:val="ListParagraph"/>
        <w:numPr>
          <w:ilvl w:val="0"/>
          <w:numId w:val="28"/>
        </w:numPr>
        <w:spacing w:after="0"/>
      </w:pPr>
      <w:r>
        <w:t>Filing status doesn’t matter - $300 per “filing unit”</w:t>
      </w:r>
    </w:p>
    <w:p w14:paraId="1D542C93" w14:textId="1866F37A" w:rsidR="00573E3E" w:rsidRDefault="000C5EE3" w:rsidP="00760DC8">
      <w:pPr>
        <w:pStyle w:val="ListParagraph"/>
        <w:numPr>
          <w:ilvl w:val="0"/>
          <w:numId w:val="28"/>
        </w:numPr>
        <w:spacing w:after="0"/>
      </w:pPr>
      <w:r>
        <w:t>If not itemizing, consider</w:t>
      </w:r>
      <w:r w:rsidR="00573E3E">
        <w:t xml:space="preserve"> doubling up multiple years</w:t>
      </w:r>
      <w:r>
        <w:t>’</w:t>
      </w:r>
      <w:r w:rsidR="00573E3E">
        <w:t xml:space="preserve"> gifts into one to exceed the SD</w:t>
      </w:r>
    </w:p>
    <w:p w14:paraId="344FBB8E" w14:textId="337102FA" w:rsidR="00573E3E" w:rsidRDefault="00573E3E" w:rsidP="00573E3E">
      <w:pPr>
        <w:spacing w:after="0"/>
      </w:pPr>
    </w:p>
    <w:p w14:paraId="118BF3F6" w14:textId="3CC41CB3" w:rsidR="00573E3E" w:rsidRDefault="001C741C" w:rsidP="00573E3E">
      <w:pPr>
        <w:spacing w:after="0"/>
      </w:pPr>
      <w:hyperlink r:id="rId21" w:history="1">
        <w:r w:rsidR="00573E3E" w:rsidRPr="00573E3E">
          <w:rPr>
            <w:rStyle w:val="Hyperlink"/>
          </w:rPr>
          <w:t>Cryptocurrency</w:t>
        </w:r>
      </w:hyperlink>
    </w:p>
    <w:p w14:paraId="614D4351" w14:textId="4A8DE42E" w:rsidR="00573E3E" w:rsidRDefault="00573E3E" w:rsidP="00573E3E">
      <w:pPr>
        <w:spacing w:after="0"/>
      </w:pPr>
    </w:p>
    <w:p w14:paraId="40779ACB" w14:textId="4D60D488" w:rsidR="00573E3E" w:rsidRDefault="00573E3E" w:rsidP="000B3856">
      <w:pPr>
        <w:pStyle w:val="ListParagraph"/>
        <w:numPr>
          <w:ilvl w:val="0"/>
          <w:numId w:val="30"/>
        </w:numPr>
        <w:spacing w:after="0"/>
      </w:pPr>
      <w:r>
        <w:t>IRS regards cryptocurrency as property, not a security</w:t>
      </w:r>
    </w:p>
    <w:p w14:paraId="16C63715" w14:textId="3721FE11" w:rsidR="00573E3E" w:rsidRDefault="00573E3E" w:rsidP="000B3856">
      <w:pPr>
        <w:pStyle w:val="ListParagraph"/>
        <w:numPr>
          <w:ilvl w:val="0"/>
          <w:numId w:val="30"/>
        </w:numPr>
        <w:spacing w:after="0"/>
      </w:pPr>
      <w:r>
        <w:t>Gain or loss recognized when sold, exchanged, or used to purchase goods or services</w:t>
      </w:r>
    </w:p>
    <w:p w14:paraId="2E1CA114" w14:textId="698CFABD" w:rsidR="00573E3E" w:rsidRDefault="00573E3E" w:rsidP="000B3856">
      <w:pPr>
        <w:pStyle w:val="ListParagraph"/>
        <w:numPr>
          <w:ilvl w:val="0"/>
          <w:numId w:val="30"/>
        </w:numPr>
        <w:spacing w:after="0"/>
      </w:pPr>
      <w:r>
        <w:t>Can’t do like-kind exchange</w:t>
      </w:r>
    </w:p>
    <w:p w14:paraId="607C0FE2" w14:textId="4EEEACEA" w:rsidR="00573E3E" w:rsidRDefault="00573E3E" w:rsidP="000B3856">
      <w:pPr>
        <w:pStyle w:val="ListParagraph"/>
        <w:numPr>
          <w:ilvl w:val="0"/>
          <w:numId w:val="30"/>
        </w:numPr>
        <w:spacing w:after="0"/>
      </w:pPr>
      <w:r>
        <w:t>Like any other appreciated property, may be donated with deduction for FMV but no gain recognized</w:t>
      </w:r>
    </w:p>
    <w:p w14:paraId="356C5D08" w14:textId="2E588D68" w:rsidR="00573E3E" w:rsidRDefault="00573E3E" w:rsidP="000B3856">
      <w:pPr>
        <w:pStyle w:val="ListParagraph"/>
        <w:numPr>
          <w:ilvl w:val="0"/>
          <w:numId w:val="30"/>
        </w:numPr>
        <w:spacing w:after="0"/>
      </w:pPr>
      <w:r>
        <w:t xml:space="preserve">IRS has sent out letters </w:t>
      </w:r>
      <w:r w:rsidR="000B3856">
        <w:t>to people who are engaged in crypto activity</w:t>
      </w:r>
    </w:p>
    <w:p w14:paraId="16359E95" w14:textId="08FD43F0" w:rsidR="000B3856" w:rsidRDefault="000B3856" w:rsidP="000B3856">
      <w:pPr>
        <w:pStyle w:val="ListParagraph"/>
        <w:numPr>
          <w:ilvl w:val="0"/>
          <w:numId w:val="30"/>
        </w:numPr>
        <w:spacing w:after="0"/>
      </w:pPr>
      <w:r>
        <w:t>There’s a disclosure on the tax form</w:t>
      </w:r>
    </w:p>
    <w:p w14:paraId="772405EE" w14:textId="3C04810F" w:rsidR="000B3856" w:rsidRDefault="000B3856" w:rsidP="00573E3E">
      <w:pPr>
        <w:spacing w:after="0"/>
      </w:pPr>
    </w:p>
    <w:p w14:paraId="13D7F132" w14:textId="232D6182" w:rsidR="000B3856" w:rsidRDefault="001C741C" w:rsidP="00573E3E">
      <w:pPr>
        <w:spacing w:after="0"/>
      </w:pPr>
      <w:hyperlink r:id="rId22" w:history="1">
        <w:r w:rsidR="008F3F0F" w:rsidRPr="008F3F0F">
          <w:rPr>
            <w:rStyle w:val="Hyperlink"/>
          </w:rPr>
          <w:t>Home Office Deduction</w:t>
        </w:r>
      </w:hyperlink>
    </w:p>
    <w:p w14:paraId="1F027286" w14:textId="3BF03E4B" w:rsidR="008F3F0F" w:rsidRDefault="008F3F0F" w:rsidP="00573E3E">
      <w:pPr>
        <w:spacing w:after="0"/>
      </w:pPr>
    </w:p>
    <w:p w14:paraId="0A92A542" w14:textId="000F054F" w:rsidR="008F3F0F" w:rsidRDefault="008F3F0F" w:rsidP="008F3F0F">
      <w:pPr>
        <w:pStyle w:val="ListParagraph"/>
        <w:numPr>
          <w:ilvl w:val="0"/>
          <w:numId w:val="31"/>
        </w:numPr>
        <w:spacing w:after="0"/>
      </w:pPr>
      <w:r>
        <w:t>Not available for employees, even during coronavirus</w:t>
      </w:r>
    </w:p>
    <w:p w14:paraId="5B4B5B79" w14:textId="73C12919" w:rsidR="008F3F0F" w:rsidRDefault="008F3F0F" w:rsidP="008F3F0F">
      <w:pPr>
        <w:pStyle w:val="ListParagraph"/>
        <w:numPr>
          <w:ilvl w:val="0"/>
          <w:numId w:val="31"/>
        </w:numPr>
        <w:spacing w:after="0"/>
      </w:pPr>
      <w:r>
        <w:t>Senate bill 4488 – restore unreimbursed business expenses, deduction for school and internet expenses</w:t>
      </w:r>
    </w:p>
    <w:p w14:paraId="091F1524" w14:textId="13C53F50" w:rsidR="008F3F0F" w:rsidRDefault="003A001B" w:rsidP="008F3F0F">
      <w:pPr>
        <w:pStyle w:val="ListParagraph"/>
        <w:numPr>
          <w:ilvl w:val="0"/>
          <w:numId w:val="31"/>
        </w:numPr>
        <w:spacing w:after="0"/>
      </w:pPr>
      <w:r>
        <w:t xml:space="preserve">If </w:t>
      </w:r>
      <w:r w:rsidR="000C5EE3">
        <w:t xml:space="preserve">you </w:t>
      </w:r>
      <w:r w:rsidR="008F3F0F">
        <w:t>operate business from home</w:t>
      </w:r>
      <w:r>
        <w:t>:</w:t>
      </w:r>
    </w:p>
    <w:p w14:paraId="0C97638E" w14:textId="7B32E2D8" w:rsidR="008F3F0F" w:rsidRDefault="008F3F0F" w:rsidP="003A001B">
      <w:pPr>
        <w:pStyle w:val="ListParagraph"/>
        <w:numPr>
          <w:ilvl w:val="1"/>
          <w:numId w:val="31"/>
        </w:numPr>
        <w:spacing w:after="0"/>
      </w:pPr>
      <w:r>
        <w:t>Exclusive business use</w:t>
      </w:r>
    </w:p>
    <w:p w14:paraId="6A355F91" w14:textId="6B8CA079" w:rsidR="008F3F0F" w:rsidRDefault="008F3F0F" w:rsidP="003A001B">
      <w:pPr>
        <w:pStyle w:val="ListParagraph"/>
        <w:numPr>
          <w:ilvl w:val="1"/>
          <w:numId w:val="31"/>
        </w:numPr>
        <w:spacing w:after="0"/>
      </w:pPr>
      <w:r>
        <w:t>Principal place of business</w:t>
      </w:r>
    </w:p>
    <w:p w14:paraId="0CF52816" w14:textId="79210BCA" w:rsidR="008F3F0F" w:rsidRDefault="008F3F0F" w:rsidP="003A001B">
      <w:pPr>
        <w:pStyle w:val="ListParagraph"/>
        <w:numPr>
          <w:ilvl w:val="1"/>
          <w:numId w:val="31"/>
        </w:numPr>
        <w:spacing w:after="0"/>
      </w:pPr>
      <w:r>
        <w:t>Simplified option - $5/</w:t>
      </w:r>
      <w:proofErr w:type="spellStart"/>
      <w:r>
        <w:t>sq</w:t>
      </w:r>
      <w:proofErr w:type="spellEnd"/>
      <w:r>
        <w:t xml:space="preserve"> ft, maximum 300 </w:t>
      </w:r>
      <w:proofErr w:type="spellStart"/>
      <w:r>
        <w:t>sq</w:t>
      </w:r>
      <w:proofErr w:type="spellEnd"/>
      <w:r>
        <w:t xml:space="preserve"> ft.  So $1,500 deduction on Schedule C</w:t>
      </w:r>
    </w:p>
    <w:p w14:paraId="03CE4351" w14:textId="1AF92284" w:rsidR="008F3F0F" w:rsidRDefault="008F3F0F" w:rsidP="00573E3E">
      <w:pPr>
        <w:spacing w:after="0"/>
      </w:pPr>
    </w:p>
    <w:p w14:paraId="62ADDC3F" w14:textId="50D274ED" w:rsidR="008F3F0F" w:rsidRDefault="001C741C" w:rsidP="00573E3E">
      <w:pPr>
        <w:spacing w:after="0"/>
      </w:pPr>
      <w:hyperlink r:id="rId23" w:history="1">
        <w:r w:rsidR="00E8365C" w:rsidRPr="00AE13B9">
          <w:rPr>
            <w:rStyle w:val="Hyperlink"/>
          </w:rPr>
          <w:t xml:space="preserve">Statutory </w:t>
        </w:r>
        <w:r w:rsidR="00AE13B9" w:rsidRPr="00AE13B9">
          <w:rPr>
            <w:rStyle w:val="Hyperlink"/>
          </w:rPr>
          <w:t>Residency</w:t>
        </w:r>
      </w:hyperlink>
    </w:p>
    <w:p w14:paraId="4658FF4A" w14:textId="5F468F13" w:rsidR="00E8365C" w:rsidRDefault="00E8365C" w:rsidP="00573E3E">
      <w:pPr>
        <w:spacing w:after="0"/>
      </w:pPr>
    </w:p>
    <w:p w14:paraId="30EBB9E6" w14:textId="48201B80" w:rsidR="00E8365C" w:rsidRDefault="00AE13B9" w:rsidP="00AE13B9">
      <w:pPr>
        <w:pStyle w:val="ListParagraph"/>
        <w:numPr>
          <w:ilvl w:val="0"/>
          <w:numId w:val="32"/>
        </w:numPr>
        <w:spacing w:after="0"/>
      </w:pPr>
      <w:r>
        <w:t>Domicile generally based on principal residence, driver’s license, voter registration, etc.</w:t>
      </w:r>
    </w:p>
    <w:p w14:paraId="12CBDF6F" w14:textId="755465F7" w:rsidR="00AE13B9" w:rsidRDefault="00AE13B9" w:rsidP="00AE13B9">
      <w:pPr>
        <w:pStyle w:val="ListParagraph"/>
        <w:numPr>
          <w:ilvl w:val="0"/>
          <w:numId w:val="32"/>
        </w:numPr>
        <w:spacing w:after="0"/>
      </w:pPr>
      <w:r>
        <w:t>Statutory resident for the year if you spend more than 183 days in the state</w:t>
      </w:r>
    </w:p>
    <w:p w14:paraId="5B9D8C37" w14:textId="1296CA0B" w:rsidR="00AE13B9" w:rsidRDefault="00AE13B9" w:rsidP="00AE13B9">
      <w:pPr>
        <w:pStyle w:val="ListParagraph"/>
        <w:numPr>
          <w:ilvl w:val="0"/>
          <w:numId w:val="32"/>
        </w:numPr>
        <w:spacing w:after="0"/>
      </w:pPr>
      <w:r>
        <w:t>Possibly to be domiciliary resident of one state but statutory resident of another</w:t>
      </w:r>
    </w:p>
    <w:p w14:paraId="3DD1B0FB" w14:textId="20652F84" w:rsidR="00AE13B9" w:rsidRDefault="00AE13B9" w:rsidP="00AE13B9">
      <w:pPr>
        <w:pStyle w:val="ListParagraph"/>
        <w:numPr>
          <w:ilvl w:val="0"/>
          <w:numId w:val="32"/>
        </w:numPr>
        <w:spacing w:after="0"/>
      </w:pPr>
      <w:r>
        <w:t>Owe tax on all income to both states</w:t>
      </w:r>
    </w:p>
    <w:p w14:paraId="64DCA49B" w14:textId="3673B35E" w:rsidR="00AE13B9" w:rsidRDefault="00AE13B9" w:rsidP="00AE13B9">
      <w:pPr>
        <w:pStyle w:val="ListParagraph"/>
        <w:numPr>
          <w:ilvl w:val="0"/>
          <w:numId w:val="32"/>
        </w:numPr>
        <w:spacing w:after="0"/>
      </w:pPr>
      <w:r>
        <w:t>No out-of-state tax credit (generally)</w:t>
      </w:r>
    </w:p>
    <w:p w14:paraId="0FB4E322" w14:textId="297A5BDB" w:rsidR="00AE13B9" w:rsidRDefault="00AE13B9" w:rsidP="00573E3E">
      <w:pPr>
        <w:spacing w:after="0"/>
      </w:pPr>
    </w:p>
    <w:p w14:paraId="5622A57E" w14:textId="77777777" w:rsidR="00AE13B9" w:rsidRDefault="00AE13B9" w:rsidP="00573E3E">
      <w:pPr>
        <w:spacing w:after="0"/>
      </w:pPr>
    </w:p>
    <w:sectPr w:rsidR="00AE1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371"/>
    <w:multiLevelType w:val="hybridMultilevel"/>
    <w:tmpl w:val="2AA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86F"/>
    <w:multiLevelType w:val="hybridMultilevel"/>
    <w:tmpl w:val="0ADCE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C11"/>
    <w:multiLevelType w:val="hybridMultilevel"/>
    <w:tmpl w:val="F0C0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02C1"/>
    <w:multiLevelType w:val="hybridMultilevel"/>
    <w:tmpl w:val="A846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2B15"/>
    <w:multiLevelType w:val="hybridMultilevel"/>
    <w:tmpl w:val="04F8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104A"/>
    <w:multiLevelType w:val="hybridMultilevel"/>
    <w:tmpl w:val="255C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6D2"/>
    <w:multiLevelType w:val="hybridMultilevel"/>
    <w:tmpl w:val="94761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86DA8"/>
    <w:multiLevelType w:val="hybridMultilevel"/>
    <w:tmpl w:val="1964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28A5"/>
    <w:multiLevelType w:val="hybridMultilevel"/>
    <w:tmpl w:val="E116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D0D7E"/>
    <w:multiLevelType w:val="hybridMultilevel"/>
    <w:tmpl w:val="A66C1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5372ED"/>
    <w:multiLevelType w:val="hybridMultilevel"/>
    <w:tmpl w:val="6CEC1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52EA"/>
    <w:multiLevelType w:val="hybridMultilevel"/>
    <w:tmpl w:val="28D4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F0F44"/>
    <w:multiLevelType w:val="hybridMultilevel"/>
    <w:tmpl w:val="88361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35C55"/>
    <w:multiLevelType w:val="hybridMultilevel"/>
    <w:tmpl w:val="E6B4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6980"/>
    <w:multiLevelType w:val="hybridMultilevel"/>
    <w:tmpl w:val="4D3C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41616"/>
    <w:multiLevelType w:val="hybridMultilevel"/>
    <w:tmpl w:val="0F80F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63CFC"/>
    <w:multiLevelType w:val="hybridMultilevel"/>
    <w:tmpl w:val="A034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FE3"/>
    <w:multiLevelType w:val="hybridMultilevel"/>
    <w:tmpl w:val="9392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D1B4C"/>
    <w:multiLevelType w:val="hybridMultilevel"/>
    <w:tmpl w:val="C9821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E205C"/>
    <w:multiLevelType w:val="hybridMultilevel"/>
    <w:tmpl w:val="39606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72360"/>
    <w:multiLevelType w:val="hybridMultilevel"/>
    <w:tmpl w:val="CA72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424E"/>
    <w:multiLevelType w:val="hybridMultilevel"/>
    <w:tmpl w:val="BAEA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C43BA"/>
    <w:multiLevelType w:val="hybridMultilevel"/>
    <w:tmpl w:val="110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F3C6C"/>
    <w:multiLevelType w:val="hybridMultilevel"/>
    <w:tmpl w:val="9074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1E7290"/>
    <w:multiLevelType w:val="hybridMultilevel"/>
    <w:tmpl w:val="6960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F2A01"/>
    <w:multiLevelType w:val="hybridMultilevel"/>
    <w:tmpl w:val="365E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51219"/>
    <w:multiLevelType w:val="hybridMultilevel"/>
    <w:tmpl w:val="09928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8154B"/>
    <w:multiLevelType w:val="hybridMultilevel"/>
    <w:tmpl w:val="416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1314"/>
    <w:multiLevelType w:val="hybridMultilevel"/>
    <w:tmpl w:val="18A85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54080"/>
    <w:multiLevelType w:val="hybridMultilevel"/>
    <w:tmpl w:val="44F8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12D5"/>
    <w:multiLevelType w:val="hybridMultilevel"/>
    <w:tmpl w:val="4712F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58B3"/>
    <w:multiLevelType w:val="hybridMultilevel"/>
    <w:tmpl w:val="08C6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1"/>
  </w:num>
  <w:num w:numId="8">
    <w:abstractNumId w:val="18"/>
  </w:num>
  <w:num w:numId="9">
    <w:abstractNumId w:val="19"/>
  </w:num>
  <w:num w:numId="10">
    <w:abstractNumId w:val="12"/>
  </w:num>
  <w:num w:numId="11">
    <w:abstractNumId w:val="28"/>
  </w:num>
  <w:num w:numId="12">
    <w:abstractNumId w:val="23"/>
  </w:num>
  <w:num w:numId="13">
    <w:abstractNumId w:val="31"/>
  </w:num>
  <w:num w:numId="14">
    <w:abstractNumId w:val="9"/>
  </w:num>
  <w:num w:numId="15">
    <w:abstractNumId w:val="8"/>
  </w:num>
  <w:num w:numId="16">
    <w:abstractNumId w:val="27"/>
  </w:num>
  <w:num w:numId="17">
    <w:abstractNumId w:val="14"/>
  </w:num>
  <w:num w:numId="18">
    <w:abstractNumId w:val="11"/>
  </w:num>
  <w:num w:numId="19">
    <w:abstractNumId w:val="13"/>
  </w:num>
  <w:num w:numId="20">
    <w:abstractNumId w:val="5"/>
  </w:num>
  <w:num w:numId="21">
    <w:abstractNumId w:val="4"/>
  </w:num>
  <w:num w:numId="22">
    <w:abstractNumId w:val="30"/>
  </w:num>
  <w:num w:numId="23">
    <w:abstractNumId w:val="3"/>
  </w:num>
  <w:num w:numId="24">
    <w:abstractNumId w:val="20"/>
  </w:num>
  <w:num w:numId="25">
    <w:abstractNumId w:val="29"/>
  </w:num>
  <w:num w:numId="26">
    <w:abstractNumId w:val="0"/>
  </w:num>
  <w:num w:numId="27">
    <w:abstractNumId w:val="17"/>
  </w:num>
  <w:num w:numId="28">
    <w:abstractNumId w:val="21"/>
  </w:num>
  <w:num w:numId="29">
    <w:abstractNumId w:val="25"/>
  </w:num>
  <w:num w:numId="30">
    <w:abstractNumId w:val="22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3E"/>
    <w:rsid w:val="000B3856"/>
    <w:rsid w:val="000C5EE3"/>
    <w:rsid w:val="00176AC5"/>
    <w:rsid w:val="001C25DC"/>
    <w:rsid w:val="001C741C"/>
    <w:rsid w:val="00255937"/>
    <w:rsid w:val="003A001B"/>
    <w:rsid w:val="00490143"/>
    <w:rsid w:val="00561EDC"/>
    <w:rsid w:val="00573E3E"/>
    <w:rsid w:val="00631B61"/>
    <w:rsid w:val="006C52D4"/>
    <w:rsid w:val="00760DC8"/>
    <w:rsid w:val="00805D25"/>
    <w:rsid w:val="008F3F0F"/>
    <w:rsid w:val="00917446"/>
    <w:rsid w:val="009E0564"/>
    <w:rsid w:val="00AE13B9"/>
    <w:rsid w:val="00B4175B"/>
    <w:rsid w:val="00B928E2"/>
    <w:rsid w:val="00C70BD6"/>
    <w:rsid w:val="00CC3DEE"/>
    <w:rsid w:val="00D1497F"/>
    <w:rsid w:val="00D63E3E"/>
    <w:rsid w:val="00E8365C"/>
    <w:rsid w:val="00F6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10BF"/>
  <w15:chartTrackingRefBased/>
  <w15:docId w15:val="{ECD694AB-0ABC-41A0-B341-085537B0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E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businesses/small-businesses-self-employed/qualified-small-business-payroll-tax-credit-for-increasing-research-activities" TargetMode="External"/><Relationship Id="rId13" Type="http://schemas.openxmlformats.org/officeDocument/2006/relationships/hyperlink" Target="https://www.journalofaccountancy.com/issues/2020/nov/deducting-losses-cares-act-coronavirus-relief.html" TargetMode="External"/><Relationship Id="rId18" Type="http://schemas.openxmlformats.org/officeDocument/2006/relationships/hyperlink" Target="https://www.journalofaccountancy.com/issues/2020/jul/kiddie-tax-rules-restored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rs.gov/individuals/international-taxpayers/frequently-asked-questions-on-virtual-currency-transactions" TargetMode="External"/><Relationship Id="rId7" Type="http://schemas.openxmlformats.org/officeDocument/2006/relationships/hyperlink" Target="https://www.irs.gov/newsroom/deferral-of-employment-tax-deposits-and-payments-through-december-31-2020" TargetMode="External"/><Relationship Id="rId12" Type="http://schemas.openxmlformats.org/officeDocument/2006/relationships/hyperlink" Target="https://www.journalofaccountancy.com/news/2020/jul/irs-business-interest-expense-guidance.html" TargetMode="External"/><Relationship Id="rId17" Type="http://schemas.openxmlformats.org/officeDocument/2006/relationships/hyperlink" Target="https://www.irs.gov/newsroom/economic-impact-payment-information-center-topic-j-reconciling-on-your-2020-tax-retur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journalofaccountancy.com/news/2020/oct/irs-reporting-partnership-capital-accounts.html" TargetMode="External"/><Relationship Id="rId20" Type="http://schemas.openxmlformats.org/officeDocument/2006/relationships/hyperlink" Target="https://www.journalofaccountancy.com/issues/2020/sep/cares-act-charitable-deduction-for-nonitemizer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rs.gov/newsroom/faqs-employee-retention-credit-under-the-cares-act" TargetMode="External"/><Relationship Id="rId11" Type="http://schemas.openxmlformats.org/officeDocument/2006/relationships/hyperlink" Target="https://www.journalofaccountancy.com/news/2020/oct/irs-rules-business-meals-entertainment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rs.gov/newsroom/covid-19-related-tax-credits-basic-faqs" TargetMode="External"/><Relationship Id="rId15" Type="http://schemas.openxmlformats.org/officeDocument/2006/relationships/hyperlink" Target="https://www.irs.gov/forms-pubs/limitation-on-business-losses-for-certain-taxpayers-repealed-for-2018-2019-and-2020" TargetMode="External"/><Relationship Id="rId23" Type="http://schemas.openxmlformats.org/officeDocument/2006/relationships/hyperlink" Target="http://www.nysscpa.org/news/publications/the-tax-stringer/stringer-article-for-authors/quarantining-in-the-states-tax-residence-issues-during-the-covid-19-pandemic" TargetMode="External"/><Relationship Id="rId10" Type="http://schemas.openxmlformats.org/officeDocument/2006/relationships/hyperlink" Target="https://www.irs.gov/newsroom/frequently-asked-questions-about-taxation-of-provider-relief-payments" TargetMode="External"/><Relationship Id="rId19" Type="http://schemas.openxmlformats.org/officeDocument/2006/relationships/hyperlink" Target="https://www.bankrate.com/mortgages/deduct-private-mortgage-insur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urnalofaccountancy.com/news/2020/nov/ppp-loan-forgiveness-irs-safe-harbor.html" TargetMode="External"/><Relationship Id="rId14" Type="http://schemas.openxmlformats.org/officeDocument/2006/relationships/hyperlink" Target="https://www.accountingtoday.com/opinion/meet-the-1099-nec" TargetMode="External"/><Relationship Id="rId22" Type="http://schemas.openxmlformats.org/officeDocument/2006/relationships/hyperlink" Target="https://www.irs.gov/newsroom/heres-what-taxpayers-need-to-know-about-the-home-office-dedu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7423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Harris</dc:creator>
  <cp:keywords/>
  <dc:description/>
  <cp:lastModifiedBy>Kim Martin</cp:lastModifiedBy>
  <cp:revision>2</cp:revision>
  <cp:lastPrinted>2020-12-17T00:09:00Z</cp:lastPrinted>
  <dcterms:created xsi:type="dcterms:W3CDTF">2020-12-17T02:09:00Z</dcterms:created>
  <dcterms:modified xsi:type="dcterms:W3CDTF">2020-12-17T02:09:00Z</dcterms:modified>
</cp:coreProperties>
</file>